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Times New Roman" w:hAnsi="Times New Roman" w:eastAsia="黑体" w:cs="Times New Roman"/>
          <w:sz w:val="32"/>
          <w:szCs w:val="32"/>
          <w:lang w:val="en-US" w:eastAsia="zh-CN"/>
        </w:rPr>
      </w:pPr>
      <w:r>
        <w:rPr>
          <w:rFonts w:ascii="Times New Roman" w:hAnsi="Times New Roman" w:eastAsia="黑体" w:cs="Times New Roman"/>
          <w:sz w:val="32"/>
          <w:szCs w:val="32"/>
        </w:rPr>
        <w:t>附件</w:t>
      </w:r>
      <w:r>
        <w:rPr>
          <w:rFonts w:hint="eastAsia" w:ascii="Times New Roman" w:hAnsi="Times New Roman" w:eastAsia="黑体" w:cs="Times New Roman"/>
          <w:sz w:val="32"/>
          <w:szCs w:val="32"/>
          <w:lang w:val="en-US" w:eastAsia="zh-CN"/>
        </w:rPr>
        <w:t>3</w:t>
      </w:r>
    </w:p>
    <w:p>
      <w:pPr>
        <w:spacing w:line="600" w:lineRule="exact"/>
        <w:rPr>
          <w:rFonts w:ascii="Times New Roman" w:hAnsi="Times New Roman" w:eastAsia="黑体" w:cs="Times New Roman"/>
          <w:sz w:val="32"/>
          <w:szCs w:val="32"/>
        </w:rPr>
      </w:pPr>
    </w:p>
    <w:p>
      <w:pPr>
        <w:spacing w:line="600" w:lineRule="exact"/>
        <w:rPr>
          <w:rFonts w:ascii="Times New Roman" w:hAnsi="Times New Roman" w:eastAsia="黑体" w:cs="Times New Roman"/>
          <w:sz w:val="32"/>
          <w:szCs w:val="32"/>
        </w:rPr>
      </w:pPr>
    </w:p>
    <w:p>
      <w:pPr>
        <w:spacing w:line="600" w:lineRule="exact"/>
        <w:rPr>
          <w:rFonts w:ascii="Times New Roman" w:hAnsi="Times New Roman" w:eastAsia="黑体" w:cs="Times New Roman"/>
          <w:sz w:val="32"/>
          <w:szCs w:val="32"/>
        </w:rPr>
      </w:pPr>
    </w:p>
    <w:p>
      <w:pPr>
        <w:spacing w:line="600" w:lineRule="exact"/>
        <w:rPr>
          <w:rFonts w:ascii="Times New Roman" w:hAnsi="Times New Roman" w:eastAsia="黑体" w:cs="Times New Roman"/>
          <w:sz w:val="32"/>
          <w:szCs w:val="32"/>
        </w:rPr>
      </w:pPr>
    </w:p>
    <w:p>
      <w:pPr>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202</w:t>
      </w:r>
      <w:r>
        <w:rPr>
          <w:rFonts w:hint="eastAsia" w:ascii="Times New Roman" w:hAnsi="Times New Roman" w:eastAsia="方正小标宋_GBK" w:cs="Times New Roman"/>
          <w:sz w:val="52"/>
          <w:szCs w:val="52"/>
          <w:lang w:val="en-US" w:eastAsia="zh-CN"/>
        </w:rPr>
        <w:t>2</w:t>
      </w:r>
      <w:r>
        <w:rPr>
          <w:rFonts w:ascii="Times New Roman" w:hAnsi="Times New Roman" w:eastAsia="方正小标宋_GBK" w:cs="Times New Roman"/>
          <w:sz w:val="52"/>
          <w:szCs w:val="52"/>
        </w:rPr>
        <w:t>年度</w:t>
      </w:r>
      <w:r>
        <w:rPr>
          <w:rFonts w:hint="eastAsia" w:eastAsia="方正小标宋_GBK" w:cs="Times New Roman"/>
          <w:sz w:val="52"/>
          <w:szCs w:val="52"/>
          <w:lang w:eastAsia="zh-CN"/>
        </w:rPr>
        <w:t>茂林镇</w:t>
      </w:r>
      <w:r>
        <w:rPr>
          <w:rFonts w:ascii="Times New Roman" w:hAnsi="Times New Roman" w:eastAsia="方正小标宋_GBK" w:cs="Times New Roman"/>
          <w:sz w:val="52"/>
          <w:szCs w:val="52"/>
        </w:rPr>
        <w:t>整体支出</w:t>
      </w:r>
    </w:p>
    <w:p>
      <w:pPr>
        <w:jc w:val="center"/>
        <w:rPr>
          <w:rFonts w:ascii="Times New Roman" w:hAnsi="Times New Roman" w:eastAsia="方正小标宋_GBK" w:cs="Times New Roman"/>
          <w:sz w:val="52"/>
          <w:szCs w:val="52"/>
        </w:rPr>
      </w:pPr>
      <w:r>
        <w:rPr>
          <w:rFonts w:ascii="Times New Roman" w:hAnsi="Times New Roman" w:eastAsia="方正小标宋_GBK" w:cs="Times New Roman"/>
          <w:sz w:val="52"/>
          <w:szCs w:val="52"/>
        </w:rPr>
        <w:t>绩效自评报告</w:t>
      </w:r>
    </w:p>
    <w:p>
      <w:pPr>
        <w:jc w:val="both"/>
        <w:rPr>
          <w:rFonts w:ascii="Times New Roman" w:hAnsi="Times New Roman" w:eastAsia="楷体_GB2312" w:cs="Times New Roman"/>
          <w:b/>
          <w:sz w:val="32"/>
          <w:szCs w:val="32"/>
        </w:rPr>
      </w:pPr>
    </w:p>
    <w:p>
      <w:pPr>
        <w:jc w:val="center"/>
        <w:rPr>
          <w:rFonts w:ascii="Times New Roman" w:hAnsi="Times New Roman" w:eastAsia="黑体" w:cs="Times New Roman"/>
          <w:sz w:val="32"/>
          <w:szCs w:val="32"/>
        </w:rPr>
      </w:pPr>
    </w:p>
    <w:p>
      <w:pPr>
        <w:jc w:val="center"/>
        <w:rPr>
          <w:rFonts w:ascii="Times New Roman" w:hAnsi="Times New Roman" w:eastAsia="黑体" w:cs="Times New Roman"/>
          <w:sz w:val="32"/>
          <w:szCs w:val="32"/>
        </w:rPr>
      </w:pPr>
    </w:p>
    <w:p>
      <w:pPr>
        <w:jc w:val="center"/>
        <w:rPr>
          <w:rFonts w:ascii="Times New Roman" w:hAnsi="Times New Roman" w:eastAsia="黑体" w:cs="Times New Roman"/>
          <w:sz w:val="32"/>
          <w:szCs w:val="32"/>
        </w:rPr>
      </w:pPr>
    </w:p>
    <w:p>
      <w:pPr>
        <w:jc w:val="center"/>
        <w:rPr>
          <w:rFonts w:ascii="Times New Roman" w:hAnsi="Times New Roman" w:eastAsia="黑体" w:cs="Times New Roman"/>
          <w:sz w:val="32"/>
          <w:szCs w:val="32"/>
        </w:rPr>
      </w:pPr>
    </w:p>
    <w:p>
      <w:pPr>
        <w:jc w:val="center"/>
        <w:rPr>
          <w:rFonts w:ascii="Times New Roman" w:hAnsi="Times New Roman" w:eastAsia="黑体" w:cs="Times New Roman"/>
          <w:sz w:val="32"/>
          <w:szCs w:val="32"/>
        </w:rPr>
      </w:pPr>
    </w:p>
    <w:p>
      <w:pPr>
        <w:jc w:val="both"/>
        <w:rPr>
          <w:rFonts w:ascii="Times New Roman" w:hAnsi="Times New Roman" w:eastAsia="黑体" w:cs="Times New Roman"/>
          <w:sz w:val="32"/>
          <w:szCs w:val="32"/>
        </w:rPr>
      </w:pPr>
    </w:p>
    <w:p>
      <w:pPr>
        <w:jc w:val="center"/>
        <w:rPr>
          <w:rFonts w:ascii="Times New Roman" w:hAnsi="Times New Roman" w:eastAsia="黑体" w:cs="Times New Roman"/>
          <w:sz w:val="32"/>
          <w:szCs w:val="32"/>
        </w:rPr>
      </w:pPr>
    </w:p>
    <w:p>
      <w:pPr>
        <w:spacing w:line="600" w:lineRule="exact"/>
        <w:jc w:val="center"/>
        <w:rPr>
          <w:rFonts w:ascii="Times New Roman" w:hAnsi="Times New Roman" w:eastAsia="仿宋_GB2312" w:cs="Times New Roman"/>
          <w:sz w:val="32"/>
          <w:szCs w:val="32"/>
          <w:u w:val="single"/>
        </w:rPr>
      </w:pPr>
      <w:r>
        <w:rPr>
          <w:rFonts w:ascii="Times New Roman" w:hAnsi="Times New Roman" w:eastAsia="仿宋_GB2312" w:cs="Times New Roman"/>
          <w:sz w:val="32"/>
          <w:szCs w:val="32"/>
        </w:rPr>
        <w:t>单位名称：</w:t>
      </w:r>
      <w:r>
        <w:rPr>
          <w:rFonts w:ascii="Times New Roman" w:hAnsi="Times New Roman" w:eastAsia="仿宋_GB2312" w:cs="Times New Roman"/>
          <w:sz w:val="32"/>
          <w:szCs w:val="32"/>
          <w:u w:val="single"/>
        </w:rPr>
        <w:t>（盖章）</w:t>
      </w:r>
      <w:r>
        <w:rPr>
          <w:rFonts w:hint="eastAsia" w:eastAsia="仿宋_GB2312" w:cs="Times New Roman"/>
          <w:sz w:val="32"/>
          <w:szCs w:val="32"/>
          <w:u w:val="single"/>
          <w:lang w:eastAsia="zh-CN"/>
        </w:rPr>
        <w:t>茂林镇人民政府</w:t>
      </w:r>
    </w:p>
    <w:p>
      <w:pPr>
        <w:spacing w:line="600" w:lineRule="exact"/>
        <w:jc w:val="center"/>
        <w:rPr>
          <w:rFonts w:ascii="Times New Roman" w:hAnsi="Times New Roman" w:eastAsia="楷体_GB2312" w:cs="Times New Roman"/>
          <w:sz w:val="32"/>
          <w:szCs w:val="32"/>
        </w:rPr>
      </w:pPr>
      <w:r>
        <w:rPr>
          <w:rFonts w:hint="eastAsia" w:eastAsia="楷体_GB2312" w:cs="Times New Roman"/>
          <w:sz w:val="32"/>
          <w:szCs w:val="32"/>
          <w:lang w:val="en-US" w:eastAsia="zh-CN"/>
        </w:rPr>
        <w:t>2023</w:t>
      </w:r>
      <w:r>
        <w:rPr>
          <w:rFonts w:ascii="Times New Roman" w:hAnsi="Times New Roman" w:eastAsia="楷体_GB2312" w:cs="Times New Roman"/>
          <w:sz w:val="32"/>
          <w:szCs w:val="32"/>
        </w:rPr>
        <w:t>年</w:t>
      </w:r>
      <w:r>
        <w:rPr>
          <w:rFonts w:hint="eastAsia" w:eastAsia="楷体_GB2312" w:cs="Times New Roman"/>
          <w:sz w:val="32"/>
          <w:szCs w:val="32"/>
          <w:lang w:val="en-US" w:eastAsia="zh-CN"/>
        </w:rPr>
        <w:t>3</w:t>
      </w:r>
      <w:r>
        <w:rPr>
          <w:rFonts w:ascii="Times New Roman" w:hAnsi="Times New Roman" w:eastAsia="楷体_GB2312" w:cs="Times New Roman"/>
          <w:sz w:val="32"/>
          <w:szCs w:val="32"/>
        </w:rPr>
        <w:t>月</w:t>
      </w:r>
      <w:r>
        <w:rPr>
          <w:rFonts w:hint="eastAsia" w:eastAsia="楷体_GB2312" w:cs="Times New Roman"/>
          <w:sz w:val="32"/>
          <w:szCs w:val="32"/>
          <w:lang w:val="en-US" w:eastAsia="zh-CN"/>
        </w:rPr>
        <w:t>28</w:t>
      </w:r>
      <w:r>
        <w:rPr>
          <w:rFonts w:ascii="Times New Roman" w:hAnsi="Times New Roman" w:eastAsia="楷体_GB2312" w:cs="Times New Roman"/>
          <w:sz w:val="32"/>
          <w:szCs w:val="32"/>
        </w:rPr>
        <w:t>日</w:t>
      </w:r>
    </w:p>
    <w:p>
      <w:pPr>
        <w:jc w:val="center"/>
        <w:rPr>
          <w:rFonts w:ascii="Times New Roman" w:hAnsi="Times New Roman" w:eastAsia="黑体" w:cs="Times New Roman"/>
          <w:sz w:val="32"/>
          <w:szCs w:val="32"/>
        </w:rPr>
      </w:pPr>
    </w:p>
    <w:p>
      <w:pPr>
        <w:jc w:val="center"/>
        <w:rPr>
          <w:rFonts w:ascii="Times New Roman" w:hAnsi="Times New Roman" w:eastAsia="仿宋_GB2312" w:cs="Times New Roman"/>
          <w:sz w:val="32"/>
          <w:szCs w:val="32"/>
        </w:rPr>
      </w:pPr>
      <w:r>
        <w:rPr>
          <w:rFonts w:ascii="Times New Roman" w:hAnsi="Times New Roman" w:eastAsia="仿宋_GB2312" w:cs="Times New Roman"/>
          <w:sz w:val="32"/>
          <w:szCs w:val="32"/>
        </w:rPr>
        <w:t>（此页为封面）</w:t>
      </w:r>
    </w:p>
    <w:p>
      <w:pPr>
        <w:keepNext w:val="0"/>
        <w:keepLines w:val="0"/>
        <w:pageBreakBefore w:val="0"/>
        <w:widowControl/>
        <w:shd w:val="clear" w:color="auto" w:fill="FFFFFF"/>
        <w:kinsoku/>
        <w:wordWrap/>
        <w:overflowPunct/>
        <w:topLinePunct w:val="0"/>
        <w:autoSpaceDE/>
        <w:autoSpaceDN/>
        <w:bidi w:val="0"/>
        <w:adjustRightInd/>
        <w:snapToGrid/>
        <w:spacing w:line="600" w:lineRule="atLeast"/>
        <w:ind w:firstLine="640" w:firstLineChars="200"/>
        <w:textAlignment w:val="auto"/>
        <w:rPr>
          <w:rFonts w:ascii="楷体" w:hAnsi="楷体" w:eastAsia="楷体"/>
          <w:b/>
          <w:spacing w:val="0"/>
          <w:sz w:val="32"/>
          <w:szCs w:val="21"/>
        </w:rPr>
      </w:pPr>
      <w:r>
        <w:rPr>
          <w:rFonts w:ascii="Times New Roman" w:hAnsi="Times New Roman" w:eastAsia="仿宋_GB2312" w:cs="Times New Roman"/>
          <w:sz w:val="32"/>
          <w:szCs w:val="32"/>
        </w:rPr>
        <w:br w:type="page"/>
      </w:r>
      <w:r>
        <w:rPr>
          <w:rFonts w:hint="eastAsia" w:ascii="黑体" w:hAnsi="黑体" w:eastAsia="黑体" w:cs="黑体"/>
          <w:b w:val="0"/>
          <w:bCs/>
          <w:spacing w:val="0"/>
          <w:sz w:val="32"/>
          <w:szCs w:val="32"/>
        </w:rPr>
        <w:t>一、部门概况</w:t>
      </w:r>
    </w:p>
    <w:p>
      <w:pPr>
        <w:keepNext w:val="0"/>
        <w:keepLines w:val="0"/>
        <w:pageBreakBefore w:val="0"/>
        <w:widowControl/>
        <w:shd w:val="clear" w:color="auto" w:fill="FFFFFF"/>
        <w:kinsoku/>
        <w:wordWrap/>
        <w:overflowPunct/>
        <w:topLinePunct w:val="0"/>
        <w:autoSpaceDE/>
        <w:autoSpaceDN/>
        <w:bidi w:val="0"/>
        <w:adjustRightInd/>
        <w:snapToGrid/>
        <w:spacing w:line="600" w:lineRule="atLeast"/>
        <w:ind w:firstLine="640" w:firstLineChars="200"/>
        <w:textAlignment w:val="auto"/>
        <w:rPr>
          <w:rFonts w:hint="eastAsia" w:ascii="楷体_GB2312" w:hAnsi="楷体_GB2312" w:eastAsia="楷体_GB2312" w:cs="楷体_GB2312"/>
          <w:spacing w:val="0"/>
          <w:sz w:val="32"/>
          <w:szCs w:val="32"/>
        </w:rPr>
      </w:pPr>
      <w:r>
        <w:rPr>
          <w:rFonts w:hint="eastAsia" w:ascii="楷体_GB2312" w:hAnsi="楷体_GB2312" w:eastAsia="楷体_GB2312" w:cs="楷体_GB2312"/>
          <w:spacing w:val="0"/>
          <w:sz w:val="32"/>
          <w:szCs w:val="32"/>
        </w:rPr>
        <w:t>（一）部门基本情况（包括部门的在职人员情况、机构设置、主要职能及重点工作计划等）。</w:t>
      </w:r>
    </w:p>
    <w:p>
      <w:pPr>
        <w:keepNext w:val="0"/>
        <w:keepLines w:val="0"/>
        <w:pageBreakBefore w:val="0"/>
        <w:widowControl/>
        <w:shd w:val="clear" w:color="auto" w:fill="FFFFFF"/>
        <w:kinsoku/>
        <w:wordWrap/>
        <w:overflowPunct/>
        <w:topLinePunct w:val="0"/>
        <w:autoSpaceDE/>
        <w:autoSpaceDN/>
        <w:bidi w:val="0"/>
        <w:adjustRightInd/>
        <w:snapToGrid/>
        <w:spacing w:line="600" w:lineRule="atLeast"/>
        <w:ind w:firstLine="643" w:firstLineChars="200"/>
        <w:textAlignment w:val="auto"/>
        <w:rPr>
          <w:rFonts w:hint="eastAsia" w:ascii="仿宋_GB2312" w:hAnsi="仿宋_GB2312" w:eastAsia="仿宋_GB2312" w:cs="仿宋_GB2312"/>
          <w:b/>
          <w:bCs/>
          <w:spacing w:val="0"/>
          <w:sz w:val="32"/>
          <w:szCs w:val="32"/>
        </w:rPr>
      </w:pPr>
      <w:r>
        <w:rPr>
          <w:rFonts w:hint="eastAsia" w:ascii="仿宋_GB2312" w:hAnsi="仿宋_GB2312" w:eastAsia="仿宋_GB2312" w:cs="仿宋_GB2312"/>
          <w:b/>
          <w:bCs/>
          <w:spacing w:val="0"/>
          <w:sz w:val="32"/>
          <w:szCs w:val="32"/>
          <w:lang w:val="en-US" w:eastAsia="zh-CN"/>
        </w:rPr>
        <w:t>1.</w:t>
      </w:r>
      <w:r>
        <w:rPr>
          <w:rFonts w:hint="eastAsia" w:ascii="仿宋_GB2312" w:hAnsi="仿宋_GB2312" w:eastAsia="仿宋_GB2312" w:cs="仿宋_GB2312"/>
          <w:b/>
          <w:bCs/>
          <w:spacing w:val="0"/>
          <w:sz w:val="32"/>
          <w:szCs w:val="32"/>
        </w:rPr>
        <w:t>主要职能</w:t>
      </w:r>
    </w:p>
    <w:p>
      <w:pPr>
        <w:keepNext w:val="0"/>
        <w:keepLines w:val="0"/>
        <w:pageBreakBefore w:val="0"/>
        <w:widowControl/>
        <w:shd w:val="clear" w:color="auto" w:fill="FFFFFF"/>
        <w:kinsoku/>
        <w:wordWrap/>
        <w:overflowPunct/>
        <w:topLinePunct w:val="0"/>
        <w:autoSpaceDE/>
        <w:autoSpaceDN/>
        <w:bidi w:val="0"/>
        <w:adjustRightInd/>
        <w:snapToGrid/>
        <w:spacing w:line="600" w:lineRule="atLeast"/>
        <w:ind w:firstLine="640" w:firstLineChars="200"/>
        <w:textAlignment w:val="auto"/>
        <w:rPr>
          <w:rFonts w:hint="eastAsia" w:ascii="仿宋_GB2312" w:hAnsi="仿宋_GB2312" w:eastAsia="仿宋_GB2312" w:cs="仿宋_GB2312"/>
          <w:spacing w:val="0"/>
          <w:sz w:val="32"/>
          <w:szCs w:val="32"/>
        </w:rPr>
      </w:pPr>
      <w:r>
        <w:rPr>
          <w:rFonts w:hint="eastAsia" w:ascii="仿宋_GB2312" w:hAnsi="仿宋_GB2312" w:eastAsia="仿宋_GB2312" w:cs="仿宋_GB2312"/>
          <w:spacing w:val="0"/>
          <w:sz w:val="32"/>
          <w:szCs w:val="32"/>
        </w:rPr>
        <w:t>执行本级人民代表大会的决议和上级国家行政机关的决定和命令，发布决定和命令；执行本行政区域内的经济和社会发展计划、预算，管理本行政区域内的经济、教育、科学、文化、卫生、体育事业和财政、民政、公安、司法行政、计划生育等行政工作；保护社会主义的全民所有的财产和劳动群众集体所有的财产，保护公民私人所有的合法财产，维护社会秩序，保障公民的人身权利、民主权利和其他权利；保护各种经济组织的合法权益；保障少数民族的权利和尊重少数民族的风俗习惯；办理上级人民政府交办的其他事项。</w:t>
      </w:r>
    </w:p>
    <w:p>
      <w:pPr>
        <w:keepNext w:val="0"/>
        <w:keepLines w:val="0"/>
        <w:pageBreakBefore w:val="0"/>
        <w:widowControl/>
        <w:shd w:val="clear" w:color="auto" w:fill="FFFFFF"/>
        <w:kinsoku/>
        <w:wordWrap/>
        <w:overflowPunct/>
        <w:topLinePunct w:val="0"/>
        <w:autoSpaceDE/>
        <w:autoSpaceDN/>
        <w:bidi w:val="0"/>
        <w:adjustRightInd/>
        <w:snapToGrid/>
        <w:spacing w:line="600" w:lineRule="atLeast"/>
        <w:ind w:firstLine="643" w:firstLineChars="200"/>
        <w:textAlignment w:val="auto"/>
        <w:rPr>
          <w:rFonts w:hint="eastAsia" w:ascii="仿宋_GB2312" w:hAnsi="仿宋_GB2312" w:eastAsia="仿宋_GB2312" w:cs="仿宋_GB2312"/>
          <w:b/>
          <w:bCs/>
          <w:spacing w:val="0"/>
          <w:sz w:val="32"/>
          <w:szCs w:val="32"/>
          <w:lang w:eastAsia="zh-CN"/>
        </w:rPr>
      </w:pPr>
      <w:r>
        <w:rPr>
          <w:rFonts w:hint="eastAsia" w:ascii="仿宋_GB2312" w:hAnsi="仿宋_GB2312" w:eastAsia="仿宋_GB2312" w:cs="仿宋_GB2312"/>
          <w:b/>
          <w:bCs/>
          <w:spacing w:val="0"/>
          <w:sz w:val="32"/>
          <w:szCs w:val="32"/>
          <w:lang w:val="en-US" w:eastAsia="zh-CN"/>
        </w:rPr>
        <w:t>2.</w:t>
      </w:r>
      <w:r>
        <w:rPr>
          <w:rFonts w:hint="eastAsia" w:ascii="仿宋_GB2312" w:hAnsi="仿宋_GB2312" w:eastAsia="仿宋_GB2312" w:cs="仿宋_GB2312"/>
          <w:b/>
          <w:bCs/>
          <w:spacing w:val="0"/>
          <w:sz w:val="32"/>
          <w:szCs w:val="32"/>
          <w:lang w:eastAsia="zh-CN"/>
        </w:rPr>
        <w:t>人员构成情况 </w:t>
      </w:r>
    </w:p>
    <w:p>
      <w:pPr>
        <w:keepNext w:val="0"/>
        <w:keepLines w:val="0"/>
        <w:pageBreakBefore w:val="0"/>
        <w:widowControl/>
        <w:shd w:val="clear" w:color="auto" w:fill="FFFFFF"/>
        <w:kinsoku/>
        <w:wordWrap/>
        <w:overflowPunct/>
        <w:topLinePunct w:val="0"/>
        <w:autoSpaceDE/>
        <w:autoSpaceDN/>
        <w:bidi w:val="0"/>
        <w:adjustRightInd/>
        <w:snapToGrid/>
        <w:spacing w:line="600" w:lineRule="atLeast"/>
        <w:ind w:firstLine="640" w:firstLineChars="200"/>
        <w:textAlignment w:val="auto"/>
        <w:rPr>
          <w:rFonts w:hint="eastAsia" w:ascii="仿宋_GB2312" w:hAnsi="仿宋_GB2312" w:eastAsia="仿宋_GB2312" w:cs="仿宋_GB2312"/>
          <w:spacing w:val="0"/>
          <w:sz w:val="32"/>
          <w:szCs w:val="32"/>
        </w:rPr>
      </w:pPr>
      <w:r>
        <w:rPr>
          <w:rFonts w:hint="eastAsia" w:ascii="仿宋_GB2312" w:hAnsi="仿宋_GB2312" w:eastAsia="仿宋_GB2312" w:cs="仿宋_GB2312"/>
          <w:spacing w:val="0"/>
          <w:sz w:val="32"/>
          <w:szCs w:val="32"/>
        </w:rPr>
        <w:t>茂林镇预算单位9个，编制总数为106人，其中行政编制42人，参公编制9人，事业编制55人。实有人数402人，其中行政在职40人，退休人员17人；参公在职7人，退休人员2人；事业在职55人，退休人员31人；社区干部252人。</w:t>
      </w:r>
    </w:p>
    <w:p>
      <w:pPr>
        <w:keepNext w:val="0"/>
        <w:keepLines w:val="0"/>
        <w:pageBreakBefore w:val="0"/>
        <w:widowControl/>
        <w:shd w:val="clear" w:color="auto" w:fill="FFFFFF"/>
        <w:kinsoku/>
        <w:wordWrap/>
        <w:overflowPunct/>
        <w:topLinePunct w:val="0"/>
        <w:autoSpaceDE/>
        <w:autoSpaceDN/>
        <w:bidi w:val="0"/>
        <w:adjustRightInd/>
        <w:snapToGrid/>
        <w:spacing w:line="600" w:lineRule="atLeast"/>
        <w:ind w:firstLine="643" w:firstLineChars="200"/>
        <w:textAlignment w:val="auto"/>
        <w:rPr>
          <w:rFonts w:hint="eastAsia" w:ascii="仿宋_GB2312" w:hAnsi="仿宋_GB2312" w:eastAsia="仿宋_GB2312" w:cs="仿宋_GB2312"/>
          <w:b/>
          <w:bCs/>
          <w:spacing w:val="0"/>
          <w:sz w:val="32"/>
          <w:szCs w:val="32"/>
        </w:rPr>
      </w:pPr>
      <w:r>
        <w:rPr>
          <w:rFonts w:hint="eastAsia" w:ascii="仿宋_GB2312" w:hAnsi="仿宋_GB2312" w:eastAsia="仿宋_GB2312" w:cs="仿宋_GB2312"/>
          <w:b/>
          <w:bCs/>
          <w:spacing w:val="0"/>
          <w:sz w:val="32"/>
          <w:szCs w:val="32"/>
          <w:lang w:val="en-US" w:eastAsia="zh-CN"/>
        </w:rPr>
        <w:t>3.</w:t>
      </w:r>
      <w:r>
        <w:rPr>
          <w:rFonts w:hint="eastAsia" w:ascii="仿宋_GB2312" w:hAnsi="仿宋_GB2312" w:eastAsia="仿宋_GB2312" w:cs="仿宋_GB2312"/>
          <w:b/>
          <w:bCs/>
          <w:spacing w:val="0"/>
          <w:sz w:val="32"/>
          <w:szCs w:val="32"/>
        </w:rPr>
        <w:t>部门预算单位构成</w:t>
      </w:r>
    </w:p>
    <w:p>
      <w:pPr>
        <w:keepNext w:val="0"/>
        <w:keepLines w:val="0"/>
        <w:pageBreakBefore w:val="0"/>
        <w:widowControl/>
        <w:shd w:val="clear" w:color="auto" w:fill="FFFFFF"/>
        <w:kinsoku/>
        <w:wordWrap/>
        <w:overflowPunct/>
        <w:topLinePunct w:val="0"/>
        <w:autoSpaceDE/>
        <w:autoSpaceDN/>
        <w:bidi w:val="0"/>
        <w:adjustRightInd/>
        <w:snapToGrid/>
        <w:spacing w:line="600" w:lineRule="atLeast"/>
        <w:ind w:firstLine="640" w:firstLineChars="200"/>
        <w:textAlignment w:val="auto"/>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rPr>
        <w:t>茂林镇</w:t>
      </w:r>
      <w:r>
        <w:rPr>
          <w:rFonts w:hint="eastAsia" w:ascii="仿宋_GB2312" w:hAnsi="仿宋_GB2312" w:eastAsia="仿宋_GB2312" w:cs="仿宋_GB2312"/>
          <w:spacing w:val="0"/>
          <w:sz w:val="32"/>
          <w:szCs w:val="32"/>
          <w:lang w:eastAsia="zh-CN"/>
        </w:rPr>
        <w:t>的</w:t>
      </w:r>
      <w:r>
        <w:rPr>
          <w:rFonts w:hint="eastAsia" w:ascii="仿宋_GB2312" w:hAnsi="仿宋_GB2312" w:eastAsia="仿宋_GB2312" w:cs="仿宋_GB2312"/>
          <w:spacing w:val="0"/>
          <w:sz w:val="32"/>
          <w:szCs w:val="32"/>
        </w:rPr>
        <w:t>预算单位</w:t>
      </w:r>
      <w:r>
        <w:rPr>
          <w:rFonts w:hint="eastAsia" w:ascii="仿宋_GB2312" w:hAnsi="仿宋_GB2312" w:eastAsia="仿宋_GB2312" w:cs="仿宋_GB2312"/>
          <w:spacing w:val="0"/>
          <w:sz w:val="32"/>
          <w:szCs w:val="32"/>
          <w:lang w:eastAsia="zh-CN"/>
        </w:rPr>
        <w:t>共</w:t>
      </w:r>
      <w:r>
        <w:rPr>
          <w:rFonts w:hint="eastAsia" w:ascii="仿宋_GB2312" w:hAnsi="仿宋_GB2312" w:eastAsia="仿宋_GB2312" w:cs="仿宋_GB2312"/>
          <w:spacing w:val="0"/>
          <w:sz w:val="32"/>
          <w:szCs w:val="32"/>
        </w:rPr>
        <w:t>9个</w:t>
      </w:r>
      <w:r>
        <w:rPr>
          <w:rFonts w:hint="eastAsia" w:ascii="仿宋_GB2312" w:hAnsi="仿宋_GB2312" w:eastAsia="仿宋_GB2312" w:cs="仿宋_GB2312"/>
          <w:spacing w:val="0"/>
          <w:sz w:val="32"/>
          <w:szCs w:val="32"/>
          <w:lang w:eastAsia="zh-CN"/>
        </w:rPr>
        <w:t>，包括：（</w:t>
      </w:r>
      <w:r>
        <w:rPr>
          <w:rFonts w:hint="eastAsia" w:ascii="仿宋_GB2312" w:hAnsi="仿宋_GB2312" w:eastAsia="仿宋_GB2312" w:cs="仿宋_GB2312"/>
          <w:spacing w:val="0"/>
          <w:sz w:val="32"/>
          <w:szCs w:val="32"/>
          <w:lang w:val="en-US" w:eastAsia="zh-CN"/>
        </w:rPr>
        <w:t>1</w:t>
      </w:r>
      <w:r>
        <w:rPr>
          <w:rFonts w:hint="eastAsia" w:ascii="仿宋_GB2312" w:hAnsi="仿宋_GB2312" w:eastAsia="仿宋_GB2312" w:cs="仿宋_GB2312"/>
          <w:spacing w:val="0"/>
          <w:sz w:val="32"/>
          <w:szCs w:val="32"/>
          <w:lang w:eastAsia="zh-CN"/>
        </w:rPr>
        <w:t>）</w:t>
      </w:r>
      <w:r>
        <w:rPr>
          <w:rFonts w:hint="eastAsia" w:ascii="仿宋_GB2312" w:hAnsi="仿宋_GB2312" w:eastAsia="仿宋_GB2312" w:cs="仿宋_GB2312"/>
          <w:spacing w:val="0"/>
          <w:sz w:val="32"/>
          <w:szCs w:val="32"/>
        </w:rPr>
        <w:t>茂林镇政府</w:t>
      </w:r>
      <w:r>
        <w:rPr>
          <w:rFonts w:hint="eastAsia" w:ascii="仿宋_GB2312" w:hAnsi="仿宋_GB2312" w:eastAsia="仿宋_GB2312" w:cs="仿宋_GB2312"/>
          <w:spacing w:val="0"/>
          <w:sz w:val="32"/>
          <w:szCs w:val="32"/>
          <w:lang w:eastAsia="zh-CN"/>
        </w:rPr>
        <w:t>；（</w:t>
      </w:r>
      <w:r>
        <w:rPr>
          <w:rFonts w:hint="eastAsia" w:ascii="仿宋_GB2312" w:hAnsi="仿宋_GB2312" w:eastAsia="仿宋_GB2312" w:cs="仿宋_GB2312"/>
          <w:spacing w:val="0"/>
          <w:sz w:val="32"/>
          <w:szCs w:val="32"/>
          <w:lang w:val="en-US" w:eastAsia="zh-CN"/>
        </w:rPr>
        <w:t>2</w:t>
      </w:r>
      <w:r>
        <w:rPr>
          <w:rFonts w:hint="eastAsia" w:ascii="仿宋_GB2312" w:hAnsi="仿宋_GB2312" w:eastAsia="仿宋_GB2312" w:cs="仿宋_GB2312"/>
          <w:spacing w:val="0"/>
          <w:sz w:val="32"/>
          <w:szCs w:val="32"/>
          <w:lang w:eastAsia="zh-CN"/>
        </w:rPr>
        <w:t>）</w:t>
      </w:r>
      <w:r>
        <w:rPr>
          <w:rFonts w:hint="eastAsia" w:ascii="仿宋_GB2312" w:hAnsi="仿宋_GB2312" w:eastAsia="仿宋_GB2312" w:cs="仿宋_GB2312"/>
          <w:spacing w:val="0"/>
          <w:sz w:val="32"/>
          <w:szCs w:val="32"/>
        </w:rPr>
        <w:t>茂林镇财政所</w:t>
      </w:r>
      <w:r>
        <w:rPr>
          <w:rFonts w:hint="eastAsia" w:ascii="仿宋_GB2312" w:hAnsi="仿宋_GB2312" w:eastAsia="仿宋_GB2312" w:cs="仿宋_GB2312"/>
          <w:spacing w:val="0"/>
          <w:sz w:val="32"/>
          <w:szCs w:val="32"/>
          <w:lang w:eastAsia="zh-CN"/>
        </w:rPr>
        <w:t>；（</w:t>
      </w:r>
      <w:r>
        <w:rPr>
          <w:rFonts w:hint="eastAsia" w:ascii="仿宋_GB2312" w:hAnsi="仿宋_GB2312" w:eastAsia="仿宋_GB2312" w:cs="仿宋_GB2312"/>
          <w:spacing w:val="0"/>
          <w:sz w:val="32"/>
          <w:szCs w:val="32"/>
          <w:lang w:val="en-US" w:eastAsia="zh-CN"/>
        </w:rPr>
        <w:t>3</w:t>
      </w:r>
      <w:r>
        <w:rPr>
          <w:rFonts w:hint="eastAsia" w:ascii="仿宋_GB2312" w:hAnsi="仿宋_GB2312" w:eastAsia="仿宋_GB2312" w:cs="仿宋_GB2312"/>
          <w:spacing w:val="0"/>
          <w:sz w:val="32"/>
          <w:szCs w:val="32"/>
          <w:lang w:eastAsia="zh-CN"/>
        </w:rPr>
        <w:t>）</w:t>
      </w:r>
      <w:r>
        <w:rPr>
          <w:rFonts w:hint="eastAsia" w:ascii="仿宋_GB2312" w:hAnsi="仿宋_GB2312" w:eastAsia="仿宋_GB2312" w:cs="仿宋_GB2312"/>
          <w:spacing w:val="0"/>
          <w:sz w:val="32"/>
          <w:szCs w:val="32"/>
        </w:rPr>
        <w:t>茂林镇司法所</w:t>
      </w:r>
      <w:r>
        <w:rPr>
          <w:rFonts w:hint="eastAsia" w:ascii="仿宋_GB2312" w:hAnsi="仿宋_GB2312" w:eastAsia="仿宋_GB2312" w:cs="仿宋_GB2312"/>
          <w:spacing w:val="0"/>
          <w:sz w:val="32"/>
          <w:szCs w:val="32"/>
          <w:lang w:eastAsia="zh-CN"/>
        </w:rPr>
        <w:t>；（</w:t>
      </w:r>
      <w:r>
        <w:rPr>
          <w:rFonts w:hint="eastAsia" w:ascii="仿宋_GB2312" w:hAnsi="仿宋_GB2312" w:eastAsia="仿宋_GB2312" w:cs="仿宋_GB2312"/>
          <w:spacing w:val="0"/>
          <w:sz w:val="32"/>
          <w:szCs w:val="32"/>
          <w:lang w:val="en-US" w:eastAsia="zh-CN"/>
        </w:rPr>
        <w:t>4</w:t>
      </w:r>
      <w:r>
        <w:rPr>
          <w:rFonts w:hint="eastAsia" w:ascii="仿宋_GB2312" w:hAnsi="仿宋_GB2312" w:eastAsia="仿宋_GB2312" w:cs="仿宋_GB2312"/>
          <w:spacing w:val="0"/>
          <w:sz w:val="32"/>
          <w:szCs w:val="32"/>
          <w:lang w:eastAsia="zh-CN"/>
        </w:rPr>
        <w:t>）</w:t>
      </w:r>
      <w:r>
        <w:rPr>
          <w:rFonts w:hint="eastAsia" w:ascii="仿宋_GB2312" w:hAnsi="仿宋_GB2312" w:eastAsia="仿宋_GB2312" w:cs="仿宋_GB2312"/>
          <w:spacing w:val="0"/>
          <w:sz w:val="32"/>
          <w:szCs w:val="32"/>
        </w:rPr>
        <w:t>茂林镇民生保障服务中心</w:t>
      </w:r>
      <w:r>
        <w:rPr>
          <w:rFonts w:hint="eastAsia" w:ascii="仿宋_GB2312" w:hAnsi="仿宋_GB2312" w:eastAsia="仿宋_GB2312" w:cs="仿宋_GB2312"/>
          <w:spacing w:val="0"/>
          <w:sz w:val="32"/>
          <w:szCs w:val="32"/>
          <w:lang w:eastAsia="zh-CN"/>
        </w:rPr>
        <w:t>；（</w:t>
      </w:r>
      <w:r>
        <w:rPr>
          <w:rFonts w:hint="eastAsia" w:ascii="仿宋_GB2312" w:hAnsi="仿宋_GB2312" w:eastAsia="仿宋_GB2312" w:cs="仿宋_GB2312"/>
          <w:spacing w:val="0"/>
          <w:sz w:val="32"/>
          <w:szCs w:val="32"/>
          <w:lang w:val="en-US" w:eastAsia="zh-CN"/>
        </w:rPr>
        <w:t>5</w:t>
      </w:r>
      <w:r>
        <w:rPr>
          <w:rFonts w:hint="eastAsia" w:ascii="仿宋_GB2312" w:hAnsi="仿宋_GB2312" w:eastAsia="仿宋_GB2312" w:cs="仿宋_GB2312"/>
          <w:spacing w:val="0"/>
          <w:sz w:val="32"/>
          <w:szCs w:val="32"/>
          <w:lang w:eastAsia="zh-CN"/>
        </w:rPr>
        <w:t>）</w:t>
      </w:r>
      <w:r>
        <w:rPr>
          <w:rFonts w:hint="eastAsia" w:ascii="仿宋_GB2312" w:hAnsi="仿宋_GB2312" w:eastAsia="仿宋_GB2312" w:cs="仿宋_GB2312"/>
          <w:spacing w:val="0"/>
          <w:sz w:val="32"/>
          <w:szCs w:val="32"/>
        </w:rPr>
        <w:t>茂林镇电灌站</w:t>
      </w:r>
      <w:r>
        <w:rPr>
          <w:rFonts w:hint="eastAsia" w:ascii="仿宋_GB2312" w:hAnsi="仿宋_GB2312" w:eastAsia="仿宋_GB2312" w:cs="仿宋_GB2312"/>
          <w:spacing w:val="0"/>
          <w:sz w:val="32"/>
          <w:szCs w:val="32"/>
          <w:lang w:eastAsia="zh-CN"/>
        </w:rPr>
        <w:t>；（</w:t>
      </w:r>
      <w:r>
        <w:rPr>
          <w:rFonts w:hint="eastAsia" w:ascii="仿宋_GB2312" w:hAnsi="仿宋_GB2312" w:eastAsia="仿宋_GB2312" w:cs="仿宋_GB2312"/>
          <w:spacing w:val="0"/>
          <w:sz w:val="32"/>
          <w:szCs w:val="32"/>
          <w:lang w:val="en-US" w:eastAsia="zh-CN"/>
        </w:rPr>
        <w:t>6</w:t>
      </w:r>
      <w:r>
        <w:rPr>
          <w:rFonts w:hint="eastAsia" w:ascii="仿宋_GB2312" w:hAnsi="仿宋_GB2312" w:eastAsia="仿宋_GB2312" w:cs="仿宋_GB2312"/>
          <w:spacing w:val="0"/>
          <w:sz w:val="32"/>
          <w:szCs w:val="32"/>
          <w:lang w:eastAsia="zh-CN"/>
        </w:rPr>
        <w:t>）</w:t>
      </w:r>
      <w:r>
        <w:rPr>
          <w:rFonts w:hint="eastAsia" w:ascii="仿宋_GB2312" w:hAnsi="仿宋_GB2312" w:eastAsia="仿宋_GB2312" w:cs="仿宋_GB2312"/>
          <w:spacing w:val="0"/>
          <w:sz w:val="32"/>
          <w:szCs w:val="32"/>
        </w:rPr>
        <w:t>茂林镇公共文化服务站</w:t>
      </w:r>
      <w:r>
        <w:rPr>
          <w:rFonts w:hint="eastAsia" w:ascii="仿宋_GB2312" w:hAnsi="仿宋_GB2312" w:eastAsia="仿宋_GB2312" w:cs="仿宋_GB2312"/>
          <w:spacing w:val="0"/>
          <w:sz w:val="32"/>
          <w:szCs w:val="32"/>
          <w:lang w:eastAsia="zh-CN"/>
        </w:rPr>
        <w:t>；（</w:t>
      </w:r>
      <w:r>
        <w:rPr>
          <w:rFonts w:hint="eastAsia" w:ascii="仿宋_GB2312" w:hAnsi="仿宋_GB2312" w:eastAsia="仿宋_GB2312" w:cs="仿宋_GB2312"/>
          <w:spacing w:val="0"/>
          <w:sz w:val="32"/>
          <w:szCs w:val="32"/>
          <w:lang w:val="en-US" w:eastAsia="zh-CN"/>
        </w:rPr>
        <w:t>7</w:t>
      </w:r>
      <w:r>
        <w:rPr>
          <w:rFonts w:hint="eastAsia" w:ascii="仿宋_GB2312" w:hAnsi="仿宋_GB2312" w:eastAsia="仿宋_GB2312" w:cs="仿宋_GB2312"/>
          <w:spacing w:val="0"/>
          <w:sz w:val="32"/>
          <w:szCs w:val="32"/>
          <w:lang w:eastAsia="zh-CN"/>
        </w:rPr>
        <w:t>）</w:t>
      </w:r>
      <w:r>
        <w:rPr>
          <w:rFonts w:hint="eastAsia" w:ascii="仿宋_GB2312" w:hAnsi="仿宋_GB2312" w:eastAsia="仿宋_GB2312" w:cs="仿宋_GB2312"/>
          <w:spacing w:val="0"/>
          <w:sz w:val="32"/>
          <w:szCs w:val="32"/>
        </w:rPr>
        <w:t>茂林镇乡村建设综合服务中心</w:t>
      </w:r>
      <w:r>
        <w:rPr>
          <w:rFonts w:hint="eastAsia" w:ascii="仿宋_GB2312" w:hAnsi="仿宋_GB2312" w:eastAsia="仿宋_GB2312" w:cs="仿宋_GB2312"/>
          <w:spacing w:val="0"/>
          <w:sz w:val="32"/>
          <w:szCs w:val="32"/>
          <w:lang w:eastAsia="zh-CN"/>
        </w:rPr>
        <w:t>；（</w:t>
      </w:r>
      <w:r>
        <w:rPr>
          <w:rFonts w:hint="eastAsia" w:ascii="仿宋_GB2312" w:hAnsi="仿宋_GB2312" w:eastAsia="仿宋_GB2312" w:cs="仿宋_GB2312"/>
          <w:spacing w:val="0"/>
          <w:sz w:val="32"/>
          <w:szCs w:val="32"/>
          <w:lang w:val="en-US" w:eastAsia="zh-CN"/>
        </w:rPr>
        <w:t>8</w:t>
      </w:r>
      <w:r>
        <w:rPr>
          <w:rFonts w:hint="eastAsia" w:ascii="仿宋_GB2312" w:hAnsi="仿宋_GB2312" w:eastAsia="仿宋_GB2312" w:cs="仿宋_GB2312"/>
          <w:spacing w:val="0"/>
          <w:sz w:val="32"/>
          <w:szCs w:val="32"/>
          <w:lang w:eastAsia="zh-CN"/>
        </w:rPr>
        <w:t>）</w:t>
      </w:r>
      <w:r>
        <w:rPr>
          <w:rFonts w:hint="eastAsia" w:ascii="仿宋_GB2312" w:hAnsi="仿宋_GB2312" w:eastAsia="仿宋_GB2312" w:cs="仿宋_GB2312"/>
          <w:spacing w:val="0"/>
          <w:sz w:val="32"/>
          <w:szCs w:val="32"/>
        </w:rPr>
        <w:t>茂林镇退役军人服务站</w:t>
      </w:r>
      <w:r>
        <w:rPr>
          <w:rFonts w:hint="eastAsia" w:ascii="仿宋_GB2312" w:hAnsi="仿宋_GB2312" w:eastAsia="仿宋_GB2312" w:cs="仿宋_GB2312"/>
          <w:spacing w:val="0"/>
          <w:sz w:val="32"/>
          <w:szCs w:val="32"/>
          <w:lang w:eastAsia="zh-CN"/>
        </w:rPr>
        <w:t>；（</w:t>
      </w:r>
      <w:r>
        <w:rPr>
          <w:rFonts w:hint="eastAsia" w:ascii="仿宋_GB2312" w:hAnsi="仿宋_GB2312" w:eastAsia="仿宋_GB2312" w:cs="仿宋_GB2312"/>
          <w:spacing w:val="0"/>
          <w:sz w:val="32"/>
          <w:szCs w:val="32"/>
          <w:lang w:val="en-US" w:eastAsia="zh-CN"/>
        </w:rPr>
        <w:t>9</w:t>
      </w:r>
      <w:r>
        <w:rPr>
          <w:rFonts w:hint="eastAsia" w:ascii="仿宋_GB2312" w:hAnsi="仿宋_GB2312" w:eastAsia="仿宋_GB2312" w:cs="仿宋_GB2312"/>
          <w:spacing w:val="0"/>
          <w:sz w:val="32"/>
          <w:szCs w:val="32"/>
          <w:lang w:eastAsia="zh-CN"/>
        </w:rPr>
        <w:t>）</w:t>
      </w:r>
      <w:r>
        <w:rPr>
          <w:rFonts w:hint="eastAsia" w:ascii="仿宋_GB2312" w:hAnsi="仿宋_GB2312" w:eastAsia="仿宋_GB2312" w:cs="仿宋_GB2312"/>
          <w:spacing w:val="0"/>
          <w:sz w:val="32"/>
          <w:szCs w:val="32"/>
        </w:rPr>
        <w:t>茂林镇农业农村综合服务中心</w:t>
      </w:r>
      <w:r>
        <w:rPr>
          <w:rFonts w:hint="eastAsia" w:ascii="仿宋_GB2312" w:hAnsi="仿宋_GB2312" w:eastAsia="仿宋_GB2312" w:cs="仿宋_GB2312"/>
          <w:spacing w:val="0"/>
          <w:sz w:val="32"/>
          <w:szCs w:val="32"/>
          <w:lang w:eastAsia="zh-CN"/>
        </w:rPr>
        <w:t>。</w:t>
      </w:r>
    </w:p>
    <w:p>
      <w:pPr>
        <w:keepNext w:val="0"/>
        <w:keepLines w:val="0"/>
        <w:pageBreakBefore w:val="0"/>
        <w:kinsoku/>
        <w:wordWrap/>
        <w:overflowPunct/>
        <w:topLinePunct w:val="0"/>
        <w:autoSpaceDE/>
        <w:autoSpaceDN/>
        <w:bidi w:val="0"/>
        <w:adjustRightInd/>
        <w:snapToGrid/>
        <w:ind w:firstLine="596" w:firstLineChars="200"/>
        <w:textAlignment w:val="auto"/>
        <w:rPr>
          <w:rFonts w:hint="eastAsia" w:ascii="楷体_GB2312" w:hAnsi="楷体_GB2312" w:eastAsia="楷体_GB2312" w:cs="楷体_GB2312"/>
          <w:spacing w:val="-11"/>
          <w:sz w:val="32"/>
          <w:szCs w:val="32"/>
        </w:rPr>
      </w:pPr>
      <w:r>
        <w:rPr>
          <w:rFonts w:hint="eastAsia" w:ascii="楷体_GB2312" w:hAnsi="楷体_GB2312" w:eastAsia="楷体_GB2312" w:cs="楷体_GB2312"/>
          <w:spacing w:val="-11"/>
          <w:sz w:val="32"/>
          <w:szCs w:val="32"/>
        </w:rPr>
        <w:t>（二）部门整体支出规模、使用方向和主要内容、涉及范围等。</w:t>
      </w:r>
    </w:p>
    <w:p>
      <w:pPr>
        <w:keepNext w:val="0"/>
        <w:keepLines w:val="0"/>
        <w:pageBreakBefore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茂林镇2022年年初预算数为76584678.19元，均为一般公共预算拨款（</w:t>
      </w:r>
      <w:r>
        <w:rPr>
          <w:rFonts w:hint="eastAsia" w:ascii="仿宋_GB2312" w:hAnsi="仿宋_GB2312" w:eastAsia="仿宋_GB2312" w:cs="仿宋_GB2312"/>
          <w:spacing w:val="0"/>
          <w:sz w:val="32"/>
          <w:szCs w:val="32"/>
          <w:lang w:val="en-US" w:eastAsia="zh-CN"/>
        </w:rPr>
        <w:t>本级</w:t>
      </w:r>
      <w:r>
        <w:rPr>
          <w:rFonts w:hint="eastAsia" w:ascii="仿宋_GB2312" w:hAnsi="仿宋_GB2312" w:eastAsia="仿宋_GB2312" w:cs="仿宋_GB2312"/>
          <w:spacing w:val="0"/>
          <w:sz w:val="32"/>
          <w:szCs w:val="32"/>
          <w:lang w:val="en-US" w:eastAsia="zh-CN"/>
        </w:rPr>
        <w:t>）。年度预算调整时，共调减8,077,307.04元，其中：政府性基金调增50000元，一般公共预算拨款</w:t>
      </w:r>
      <w:r>
        <w:rPr>
          <w:rFonts w:hint="eastAsia" w:ascii="仿宋_GB2312" w:hAnsi="仿宋_GB2312" w:eastAsia="仿宋_GB2312" w:cs="仿宋_GB2312"/>
          <w:spacing w:val="0"/>
          <w:sz w:val="32"/>
          <w:szCs w:val="32"/>
          <w:lang w:val="en-US" w:eastAsia="zh-CN"/>
        </w:rPr>
        <w:t>（上级）调增2081492元，一般公共预算拨款（本级）调减10208799.04元。调整后预算数为68507371.15元，全年执行数为74159950.51元，预算执行率108.25%。</w:t>
      </w:r>
    </w:p>
    <w:p>
      <w:pPr>
        <w:keepNext w:val="0"/>
        <w:keepLines w:val="0"/>
        <w:pageBreakBefore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部门整体支出主要用于推进茂林镇建设发展各项工作，涉及范围包括乡村振兴、项目建设、维稳、经济、统计、司法、农业、国土、民政、民生、文化教育、卫生等社会事业的综合性工作。</w:t>
      </w:r>
    </w:p>
    <w:p>
      <w:pPr>
        <w:widowControl/>
        <w:shd w:val="clear" w:color="auto" w:fill="FFFFFF"/>
        <w:spacing w:line="600" w:lineRule="atLeast"/>
        <w:ind w:firstLine="640"/>
        <w:rPr>
          <w:rFonts w:hint="eastAsia" w:ascii="黑体" w:hAnsi="黑体" w:eastAsia="黑体" w:cs="黑体"/>
          <w:b w:val="0"/>
          <w:bCs/>
          <w:spacing w:val="-2"/>
          <w:sz w:val="32"/>
          <w:szCs w:val="21"/>
        </w:rPr>
      </w:pPr>
      <w:r>
        <w:rPr>
          <w:rFonts w:hint="eastAsia" w:ascii="黑体" w:hAnsi="黑体" w:eastAsia="黑体" w:cs="黑体"/>
          <w:b w:val="0"/>
          <w:bCs/>
          <w:spacing w:val="-2"/>
          <w:sz w:val="32"/>
          <w:szCs w:val="32"/>
        </w:rPr>
        <w:t>二、部门整体支出管理及使用情况</w:t>
      </w:r>
    </w:p>
    <w:p>
      <w:pPr>
        <w:widowControl/>
        <w:shd w:val="clear" w:color="auto" w:fill="FFFFFF"/>
        <w:spacing w:line="600" w:lineRule="atLeast"/>
        <w:ind w:firstLine="643"/>
        <w:rPr>
          <w:rFonts w:hint="eastAsia" w:ascii="楷体_GB2312" w:hAnsi="楷体_GB2312" w:eastAsia="楷体_GB2312" w:cs="楷体_GB2312"/>
          <w:b w:val="0"/>
          <w:bCs/>
          <w:spacing w:val="-2"/>
          <w:sz w:val="32"/>
          <w:szCs w:val="21"/>
        </w:rPr>
      </w:pPr>
      <w:r>
        <w:rPr>
          <w:rFonts w:hint="eastAsia" w:ascii="楷体_GB2312" w:hAnsi="楷体_GB2312" w:eastAsia="楷体_GB2312" w:cs="楷体_GB2312"/>
          <w:b w:val="0"/>
          <w:bCs/>
          <w:spacing w:val="-2"/>
          <w:sz w:val="32"/>
          <w:szCs w:val="32"/>
        </w:rPr>
        <w:t>（一）基本支出</w:t>
      </w:r>
    </w:p>
    <w:p>
      <w:pPr>
        <w:widowControl/>
        <w:shd w:val="clear" w:color="auto" w:fill="FFFFFF"/>
        <w:spacing w:line="600" w:lineRule="atLeast"/>
        <w:ind w:firstLine="640"/>
        <w:rPr>
          <w:rFonts w:hint="eastAsia" w:ascii="仿宋_GB2312" w:hAnsi="仿宋_GB2312" w:cs="Arial"/>
          <w:sz w:val="32"/>
          <w:szCs w:val="28"/>
        </w:rPr>
      </w:pPr>
      <w:r>
        <w:rPr>
          <w:rFonts w:hint="eastAsia" w:ascii="仿宋_GB2312" w:hAnsi="仿宋_GB2312" w:eastAsia="仿宋_GB2312" w:cs="仿宋_GB2312"/>
          <w:spacing w:val="-2"/>
          <w:sz w:val="32"/>
          <w:szCs w:val="32"/>
        </w:rPr>
        <w:t>介绍基本支出的主要用途、范围以及资金的管理情况，尤其是“三公”经费的使用和管理情况。</w:t>
      </w:r>
    </w:p>
    <w:p>
      <w:pPr>
        <w:widowControl/>
        <w:shd w:val="clear" w:color="auto" w:fill="FFFFFF"/>
        <w:spacing w:line="600" w:lineRule="atLeast"/>
        <w:ind w:firstLine="640"/>
        <w:rPr>
          <w:rFonts w:hint="default" w:ascii="仿宋_GB2312" w:hAnsi="仿宋_GB2312" w:eastAsia="宋体" w:cs="Arial"/>
          <w:sz w:val="32"/>
          <w:szCs w:val="28"/>
          <w:lang w:val="en-US" w:eastAsia="zh-CN"/>
        </w:rPr>
      </w:pPr>
      <w:r>
        <w:rPr>
          <w:rFonts w:hint="eastAsia" w:ascii="仿宋_GB2312" w:hAnsi="仿宋_GB2312" w:cs="Arial"/>
          <w:sz w:val="32"/>
          <w:szCs w:val="28"/>
          <w:lang w:val="en-US" w:eastAsia="zh-CN"/>
        </w:rPr>
        <w:t>1.</w:t>
      </w:r>
      <w:r>
        <w:rPr>
          <w:rFonts w:hint="eastAsia" w:ascii="仿宋_GB2312" w:hAnsi="仿宋_GB2312" w:eastAsia="仿宋_GB2312" w:cs="仿宋_GB2312"/>
          <w:spacing w:val="-2"/>
          <w:sz w:val="32"/>
          <w:szCs w:val="32"/>
        </w:rPr>
        <w:t>基本支出</w:t>
      </w:r>
    </w:p>
    <w:p>
      <w:pPr>
        <w:widowControl/>
        <w:shd w:val="clear" w:color="auto" w:fill="FFFFFF"/>
        <w:spacing w:line="600" w:lineRule="atLeast"/>
        <w:ind w:firstLine="640"/>
        <w:rPr>
          <w:rFonts w:hint="eastAsia" w:ascii="仿宋_GB2312" w:hAnsi="仿宋_GB2312" w:eastAsia="仿宋_GB2312" w:cs="仿宋_GB2312"/>
          <w:spacing w:val="-2"/>
          <w:sz w:val="32"/>
          <w:szCs w:val="32"/>
          <w:lang w:eastAsia="zh-CN"/>
        </w:rPr>
      </w:pPr>
      <w:r>
        <w:rPr>
          <w:rFonts w:hint="eastAsia" w:ascii="仿宋_GB2312" w:hAnsi="仿宋_GB2312" w:eastAsia="仿宋_GB2312" w:cs="仿宋_GB2312"/>
          <w:sz w:val="32"/>
          <w:szCs w:val="28"/>
        </w:rPr>
        <w:t>基本支出主要用于茂林镇行政管理单位根据国家规定的基本工资和津补贴标准等安排的人员经费支出和日常公用经费支出；社区干部工资及社区公用经费；茂林镇巡防队员工资及经费等支出</w:t>
      </w:r>
      <w:r>
        <w:rPr>
          <w:rFonts w:hint="eastAsia" w:ascii="仿宋_GB2312" w:hAnsi="仿宋_GB2312" w:eastAsia="仿宋_GB2312" w:cs="仿宋_GB2312"/>
          <w:sz w:val="32"/>
          <w:szCs w:val="28"/>
          <w:lang w:eastAsia="zh-CN"/>
        </w:rPr>
        <w:t>。</w:t>
      </w:r>
    </w:p>
    <w:p>
      <w:pPr>
        <w:widowControl/>
        <w:shd w:val="clear" w:color="auto" w:fill="FFFFFF"/>
        <w:spacing w:line="600" w:lineRule="atLeast"/>
        <w:ind w:firstLine="640"/>
        <w:rPr>
          <w:rFonts w:hint="eastAsia" w:ascii="仿宋_GB2312" w:hAnsi="仿宋_GB2312" w:eastAsia="仿宋_GB2312" w:cs="仿宋_GB2312"/>
          <w:spacing w:val="-2"/>
          <w:sz w:val="32"/>
          <w:szCs w:val="32"/>
        </w:rPr>
      </w:pPr>
      <w:r>
        <w:rPr>
          <w:rFonts w:hint="eastAsia" w:ascii="仿宋_GB2312" w:hAnsi="仿宋_GB2312" w:eastAsia="仿宋_GB2312" w:cs="仿宋_GB2312"/>
          <w:spacing w:val="-2"/>
          <w:sz w:val="32"/>
          <w:szCs w:val="32"/>
          <w:lang w:val="en-US" w:eastAsia="zh-CN"/>
        </w:rPr>
        <w:t>2.</w:t>
      </w:r>
      <w:r>
        <w:rPr>
          <w:rFonts w:hint="eastAsia" w:ascii="仿宋_GB2312" w:hAnsi="仿宋_GB2312" w:eastAsia="仿宋_GB2312" w:cs="仿宋_GB2312"/>
          <w:spacing w:val="-2"/>
          <w:sz w:val="32"/>
          <w:szCs w:val="32"/>
        </w:rPr>
        <w:t>“三公”经费</w:t>
      </w:r>
    </w:p>
    <w:p>
      <w:pPr>
        <w:widowControl/>
        <w:shd w:val="clear" w:color="auto" w:fill="FFFFFF"/>
        <w:spacing w:line="600" w:lineRule="atLeast"/>
        <w:ind w:firstLine="640"/>
        <w:rPr>
          <w:rFonts w:hint="eastAsia" w:ascii="仿宋_GB2312" w:hAnsi="仿宋_GB2312" w:eastAsia="仿宋_GB2312" w:cs="仿宋_GB2312"/>
          <w:spacing w:val="-2"/>
          <w:sz w:val="32"/>
          <w:szCs w:val="32"/>
          <w:lang w:val="en-US" w:eastAsia="zh-CN"/>
        </w:rPr>
      </w:pPr>
      <w:r>
        <w:rPr>
          <w:rFonts w:hint="eastAsia" w:ascii="仿宋_GB2312" w:hAnsi="仿宋_GB2312" w:eastAsia="仿宋_GB2312" w:cs="仿宋_GB2312"/>
          <w:spacing w:val="-2"/>
          <w:sz w:val="32"/>
          <w:szCs w:val="32"/>
          <w:lang w:val="en-US" w:eastAsia="zh-CN"/>
        </w:rPr>
        <w:t xml:space="preserve">2022年一般公共预算资金安排的“三公”经费支出预算指标下达金额为454583.17元，支出金额为236995.17元，结余数为217588元，其中： </w:t>
      </w:r>
    </w:p>
    <w:p>
      <w:pPr>
        <w:widowControl/>
        <w:shd w:val="clear" w:color="auto" w:fill="FFFFFF"/>
        <w:spacing w:line="600" w:lineRule="atLeast"/>
        <w:ind w:firstLine="640"/>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（1）因公出国（境）经费2022年指标下达金额0元，支出0元。</w:t>
      </w:r>
    </w:p>
    <w:p>
      <w:pPr>
        <w:widowControl/>
        <w:shd w:val="clear" w:color="auto" w:fill="FFFFFF"/>
        <w:spacing w:line="600" w:lineRule="atLeast"/>
        <w:ind w:firstLine="640"/>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（2）公务接待费2022年指标下达金额0元，支出0元。</w:t>
      </w:r>
    </w:p>
    <w:p>
      <w:pPr>
        <w:widowControl/>
        <w:shd w:val="clear" w:color="auto" w:fill="FFFFFF"/>
        <w:spacing w:line="600" w:lineRule="atLeast"/>
        <w:ind w:firstLine="640"/>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（3）公务用车运行维护费2022年指标下达金额19253.17元，支出19253.17元。</w:t>
      </w:r>
    </w:p>
    <w:p>
      <w:pPr>
        <w:widowControl/>
        <w:shd w:val="clear" w:color="auto" w:fill="FFFFFF"/>
        <w:spacing w:line="600" w:lineRule="atLeast"/>
        <w:ind w:firstLine="640"/>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（4）会议费2022年指标下达金额0元，支出0元。</w:t>
      </w:r>
    </w:p>
    <w:p>
      <w:pPr>
        <w:widowControl/>
        <w:shd w:val="clear" w:color="auto" w:fill="FFFFFF"/>
        <w:spacing w:line="600" w:lineRule="atLeast"/>
        <w:ind w:firstLine="640"/>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（5）培训费2022年指标下达金额87200元，支出0元。</w:t>
      </w:r>
    </w:p>
    <w:p>
      <w:pPr>
        <w:widowControl/>
        <w:shd w:val="clear" w:color="auto" w:fill="FFFFFF"/>
        <w:spacing w:line="600" w:lineRule="atLeast"/>
        <w:ind w:firstLine="640"/>
        <w:rPr>
          <w:rFonts w:hint="default" w:ascii="仿宋_GB2312" w:hAnsi="仿宋_GB2312" w:eastAsia="仿宋_GB2312" w:cs="仿宋_GB2312"/>
          <w:spacing w:val="-11"/>
          <w:sz w:val="32"/>
          <w:szCs w:val="32"/>
          <w:lang w:val="en-US" w:eastAsia="zh-CN"/>
        </w:rPr>
      </w:pPr>
      <w:r>
        <w:rPr>
          <w:rFonts w:hint="eastAsia" w:ascii="仿宋_GB2312" w:hAnsi="仿宋_GB2312" w:eastAsia="仿宋_GB2312" w:cs="仿宋_GB2312"/>
          <w:spacing w:val="-11"/>
          <w:sz w:val="32"/>
          <w:szCs w:val="32"/>
          <w:lang w:val="en-US" w:eastAsia="zh-CN"/>
        </w:rPr>
        <w:t>（6）差旅费2022年指标下达金额348130元，支出217742元。</w:t>
      </w:r>
    </w:p>
    <w:p>
      <w:pPr>
        <w:widowControl/>
        <w:shd w:val="clear" w:color="auto" w:fill="FFFFFF"/>
        <w:spacing w:line="600" w:lineRule="atLeast"/>
        <w:ind w:firstLine="643"/>
        <w:rPr>
          <w:rFonts w:hint="eastAsia" w:ascii="楷体_GB2312" w:hAnsi="楷体_GB2312" w:eastAsia="楷体_GB2312" w:cs="楷体_GB2312"/>
          <w:b w:val="0"/>
          <w:bCs/>
          <w:spacing w:val="-2"/>
          <w:sz w:val="32"/>
          <w:szCs w:val="21"/>
        </w:rPr>
      </w:pPr>
      <w:r>
        <w:rPr>
          <w:rFonts w:hint="eastAsia" w:ascii="楷体_GB2312" w:hAnsi="楷体_GB2312" w:eastAsia="楷体_GB2312" w:cs="楷体_GB2312"/>
          <w:b w:val="0"/>
          <w:bCs/>
          <w:spacing w:val="-2"/>
          <w:sz w:val="32"/>
          <w:szCs w:val="32"/>
        </w:rPr>
        <w:t>（二）</w:t>
      </w:r>
      <w:r>
        <w:rPr>
          <w:rFonts w:hint="eastAsia" w:ascii="楷体_GB2312" w:hAnsi="楷体_GB2312" w:eastAsia="楷体_GB2312" w:cs="楷体_GB2312"/>
          <w:b w:val="0"/>
          <w:bCs/>
          <w:spacing w:val="-2"/>
          <w:sz w:val="32"/>
          <w:szCs w:val="32"/>
          <w:lang w:eastAsia="zh-CN"/>
        </w:rPr>
        <w:t>项目</w:t>
      </w:r>
      <w:r>
        <w:rPr>
          <w:rFonts w:hint="eastAsia" w:ascii="楷体_GB2312" w:hAnsi="楷体_GB2312" w:eastAsia="楷体_GB2312" w:cs="楷体_GB2312"/>
          <w:b w:val="0"/>
          <w:bCs/>
          <w:spacing w:val="-2"/>
          <w:sz w:val="32"/>
          <w:szCs w:val="32"/>
        </w:rPr>
        <w:t>支出</w:t>
      </w:r>
    </w:p>
    <w:p>
      <w:pPr>
        <w:widowControl/>
        <w:shd w:val="clear" w:color="auto" w:fill="FFFFFF"/>
        <w:spacing w:line="600" w:lineRule="atLeast"/>
        <w:ind w:firstLine="640"/>
        <w:rPr>
          <w:rFonts w:hint="eastAsia" w:ascii="仿宋_GB2312" w:hAnsi="仿宋_GB2312" w:eastAsia="仿宋_GB2312" w:cs="仿宋_GB2312"/>
          <w:bCs/>
          <w:color w:val="000000"/>
          <w:sz w:val="32"/>
          <w:szCs w:val="32"/>
          <w:lang w:val="en-US" w:eastAsia="zh-CN"/>
        </w:rPr>
      </w:pPr>
      <w:r>
        <w:rPr>
          <w:rFonts w:hint="eastAsia" w:ascii="仿宋_GB2312" w:hAnsi="仿宋_GB2312" w:eastAsia="仿宋_GB2312" w:cs="仿宋_GB2312"/>
          <w:spacing w:val="-2"/>
          <w:sz w:val="32"/>
          <w:szCs w:val="32"/>
          <w:lang w:eastAsia="zh-CN"/>
        </w:rPr>
        <w:t>茂林镇项目支出主要用于茂林镇专项经费等支出，均由财政拨款安排落实。根据党中央、自治区、玉林市、玉东新区部署要求，按照</w:t>
      </w:r>
      <w:r>
        <w:rPr>
          <w:rFonts w:hint="eastAsia" w:ascii="仿宋_GB2312" w:hAnsi="仿宋_GB2312" w:eastAsia="仿宋_GB2312" w:cs="仿宋_GB2312"/>
          <w:spacing w:val="-2"/>
          <w:sz w:val="32"/>
          <w:szCs w:val="32"/>
          <w:lang w:val="en-US" w:eastAsia="zh-CN"/>
        </w:rPr>
        <w:t>2022年度计划开展各项工作，推进项目工程建设，并安排专项资金投入落实。</w:t>
      </w:r>
      <w:r>
        <w:rPr>
          <w:rFonts w:hint="eastAsia" w:ascii="仿宋_GB2312" w:hAnsi="仿宋_GB2312" w:eastAsia="仿宋_GB2312" w:cs="仿宋_GB2312"/>
          <w:b w:val="0"/>
          <w:bCs w:val="0"/>
          <w:color w:val="auto"/>
          <w:sz w:val="32"/>
          <w:szCs w:val="24"/>
          <w:shd w:val="clear" w:color="auto" w:fill="FFFFFF"/>
          <w:lang w:eastAsia="zh-CN"/>
        </w:rPr>
        <w:t>项目资金专款专用，</w:t>
      </w:r>
      <w:r>
        <w:rPr>
          <w:rFonts w:hint="eastAsia" w:ascii="仿宋_GB2312" w:hAnsi="仿宋_GB2312" w:eastAsia="仿宋_GB2312" w:cs="仿宋_GB2312"/>
          <w:bCs/>
          <w:color w:val="auto"/>
          <w:sz w:val="32"/>
          <w:szCs w:val="32"/>
          <w:lang w:eastAsia="zh-CN"/>
        </w:rPr>
        <w:t>具有较为完善的专项资金管理制度，严格按照玉东新区财政局</w:t>
      </w:r>
      <w:r>
        <w:rPr>
          <w:rFonts w:hint="eastAsia" w:ascii="仿宋_GB2312" w:hAnsi="仿宋_GB2312" w:eastAsia="仿宋_GB2312" w:cs="仿宋_GB2312"/>
          <w:bCs/>
          <w:color w:val="000000"/>
          <w:sz w:val="32"/>
          <w:szCs w:val="32"/>
          <w:lang w:val="en-US" w:eastAsia="zh-CN"/>
        </w:rPr>
        <w:t>的相关要求拨付专项资金。资金支出符合国家和城区财经法规和财务管理制度规定以及有关专项资金管理办法的规定，资金的分配有完整的审批程序和手续，资金的拨付按规定程序进行拨付，资金支出符合部门预算批复的用途，不存在截留、挤占、挪用、虚列支出等情况。</w:t>
      </w:r>
    </w:p>
    <w:p>
      <w:pPr>
        <w:widowControl/>
        <w:shd w:val="clear" w:color="auto" w:fill="FFFFFF"/>
        <w:spacing w:line="600" w:lineRule="atLeast"/>
        <w:ind w:firstLine="640"/>
        <w:rPr>
          <w:rFonts w:hint="eastAsia" w:ascii="黑体" w:hAnsi="黑体" w:eastAsia="黑体" w:cs="黑体"/>
          <w:b w:val="0"/>
          <w:bCs/>
          <w:spacing w:val="-2"/>
          <w:sz w:val="32"/>
          <w:szCs w:val="21"/>
        </w:rPr>
      </w:pPr>
      <w:r>
        <w:rPr>
          <w:rFonts w:hint="eastAsia" w:ascii="黑体" w:hAnsi="黑体" w:eastAsia="黑体" w:cs="黑体"/>
          <w:b w:val="0"/>
          <w:bCs/>
          <w:spacing w:val="-2"/>
          <w:sz w:val="32"/>
          <w:szCs w:val="32"/>
        </w:rPr>
        <w:t>三、部门专项组织实施情况</w:t>
      </w:r>
    </w:p>
    <w:p>
      <w:pPr>
        <w:widowControl/>
        <w:shd w:val="clear" w:color="auto" w:fill="FFFFFF"/>
        <w:spacing w:line="600" w:lineRule="atLeast"/>
        <w:ind w:firstLine="640"/>
        <w:rPr>
          <w:rFonts w:hint="eastAsia" w:ascii="楷体_GB2312" w:hAnsi="楷体_GB2312" w:eastAsia="楷体_GB2312" w:cs="楷体_GB2312"/>
          <w:spacing w:val="-2"/>
          <w:sz w:val="32"/>
          <w:szCs w:val="32"/>
        </w:rPr>
      </w:pPr>
      <w:r>
        <w:rPr>
          <w:rFonts w:hint="eastAsia" w:ascii="楷体_GB2312" w:hAnsi="楷体_GB2312" w:eastAsia="楷体_GB2312" w:cs="楷体_GB2312"/>
          <w:spacing w:val="-2"/>
          <w:sz w:val="32"/>
          <w:szCs w:val="32"/>
        </w:rPr>
        <w:t>（一）专项组织情况分析，主要包括项目招投标、调整、竣工验收等情况。</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79" w:lineRule="exact"/>
        <w:ind w:firstLine="640" w:firstLineChars="200"/>
        <w:jc w:val="both"/>
        <w:textAlignment w:val="auto"/>
        <w:rPr>
          <w:rFonts w:hint="eastAsia" w:ascii="仿宋_GB2312" w:hAnsi="仿宋_GB2312" w:eastAsia="仿宋_GB2312" w:cs="仿宋_GB2312"/>
          <w:b w:val="0"/>
          <w:bCs w:val="0"/>
          <w:color w:val="auto"/>
          <w:sz w:val="32"/>
          <w:szCs w:val="24"/>
          <w:shd w:val="clear" w:color="auto" w:fill="FFFFFF"/>
          <w:lang w:eastAsia="zh-CN"/>
        </w:rPr>
      </w:pPr>
      <w:r>
        <w:rPr>
          <w:rFonts w:hint="eastAsia" w:ascii="仿宋_GB2312" w:hAnsi="仿宋_GB2312" w:eastAsia="仿宋_GB2312" w:cs="仿宋_GB2312"/>
          <w:b w:val="0"/>
          <w:bCs w:val="0"/>
          <w:color w:val="auto"/>
          <w:sz w:val="32"/>
          <w:szCs w:val="24"/>
          <w:shd w:val="clear" w:color="auto" w:fill="FFFFFF"/>
          <w:lang w:eastAsia="zh-CN"/>
        </w:rPr>
        <w:t>我镇高度重视，主要领导亲自部署，分管领导主抓落实，组织专门的业务人员对接做好项目招投标、工程建设和竣工验收，及时跟进资金落实，并依照计划进度组织</w:t>
      </w:r>
      <w:r>
        <w:rPr>
          <w:rFonts w:hint="eastAsia" w:ascii="仿宋_GB2312" w:hAnsi="仿宋_GB2312" w:eastAsia="仿宋_GB2312" w:cs="仿宋_GB2312"/>
          <w:b w:val="0"/>
          <w:bCs w:val="0"/>
          <w:color w:val="auto"/>
          <w:spacing w:val="-6"/>
          <w:sz w:val="32"/>
          <w:szCs w:val="24"/>
          <w:shd w:val="clear" w:color="auto" w:fill="FFFFFF"/>
          <w:lang w:eastAsia="zh-CN"/>
        </w:rPr>
        <w:t>做好项目的规划设计、勘察、施工图审、预算编制资金等管理工作。</w:t>
      </w:r>
    </w:p>
    <w:p>
      <w:pPr>
        <w:widowControl/>
        <w:shd w:val="clear" w:color="auto" w:fill="FFFFFF"/>
        <w:spacing w:line="600" w:lineRule="atLeast"/>
        <w:ind w:firstLine="640"/>
        <w:rPr>
          <w:rFonts w:hint="eastAsia" w:ascii="楷体_GB2312" w:hAnsi="楷体_GB2312" w:eastAsia="楷体_GB2312" w:cs="楷体_GB2312"/>
          <w:spacing w:val="-2"/>
          <w:sz w:val="32"/>
          <w:szCs w:val="32"/>
        </w:rPr>
      </w:pPr>
      <w:r>
        <w:rPr>
          <w:rFonts w:hint="eastAsia" w:ascii="楷体_GB2312" w:hAnsi="楷体_GB2312" w:eastAsia="楷体_GB2312" w:cs="楷体_GB2312"/>
          <w:spacing w:val="-2"/>
          <w:sz w:val="32"/>
          <w:szCs w:val="32"/>
        </w:rPr>
        <w:t>（二）专项管理情况分析，主要包括项目管理制度建设、日常检查监督管理等情况。</w:t>
      </w:r>
    </w:p>
    <w:p>
      <w:pPr>
        <w:widowControl/>
        <w:shd w:val="clear" w:color="auto" w:fill="FFFFFF"/>
        <w:spacing w:line="600" w:lineRule="atLeast"/>
        <w:ind w:firstLine="640"/>
        <w:rPr>
          <w:rFonts w:hint="eastAsia" w:ascii="仿宋_GB2312" w:hAnsi="仿宋_GB2312" w:eastAsia="仿宋_GB2312" w:cs="仿宋_GB2312"/>
          <w:spacing w:val="-2"/>
          <w:sz w:val="32"/>
          <w:szCs w:val="32"/>
        </w:rPr>
      </w:pPr>
      <w:r>
        <w:rPr>
          <w:rFonts w:hint="eastAsia" w:ascii="仿宋_GB2312" w:hAnsi="仿宋_GB2312" w:eastAsia="仿宋_GB2312" w:cs="仿宋_GB2312"/>
          <w:b w:val="0"/>
          <w:bCs w:val="0"/>
          <w:color w:val="auto"/>
          <w:sz w:val="32"/>
          <w:szCs w:val="24"/>
          <w:shd w:val="clear" w:color="auto" w:fill="FFFFFF"/>
          <w:lang w:eastAsia="zh-CN"/>
        </w:rPr>
        <w:t>对项目资金实行“专款专用，专人管理”，不得挤占挪用项目资金。采取授权支付形式，严格按照项目资金管理办法对资金进行计划申请、拨付使用。强化监管，落实专人定期或不定期到工程现场对项目建设情况进行检查和监督，及时协调困难和问题，保证工程质量，确保项目建设顺利进行。</w:t>
      </w:r>
    </w:p>
    <w:p>
      <w:pPr>
        <w:widowControl/>
        <w:spacing w:line="600" w:lineRule="exact"/>
        <w:ind w:firstLine="632" w:firstLineChars="200"/>
        <w:jc w:val="left"/>
        <w:rPr>
          <w:rFonts w:hint="eastAsia" w:ascii="仿宋_GB2312" w:hAnsi="仿宋_GB2312" w:eastAsia="仿宋_GB2312" w:cs="仿宋_GB2312"/>
          <w:bCs/>
          <w:color w:val="000000"/>
          <w:sz w:val="32"/>
          <w:szCs w:val="32"/>
          <w:lang w:val="en-US" w:eastAsia="zh-CN"/>
        </w:rPr>
      </w:pPr>
      <w:r>
        <w:rPr>
          <w:rFonts w:hint="eastAsia" w:ascii="黑体" w:hAnsi="黑体" w:eastAsia="黑体" w:cs="黑体"/>
          <w:b w:val="0"/>
          <w:bCs/>
          <w:spacing w:val="-2"/>
          <w:sz w:val="32"/>
          <w:szCs w:val="32"/>
        </w:rPr>
        <w:t>四、资产管理情</w:t>
      </w:r>
      <w:r>
        <w:rPr>
          <w:rFonts w:hint="eastAsia" w:ascii="黑体" w:hAnsi="黑体" w:eastAsia="黑体" w:cs="黑体"/>
          <w:b w:val="0"/>
          <w:bCs/>
          <w:spacing w:val="-2"/>
          <w:sz w:val="32"/>
          <w:szCs w:val="32"/>
          <w:lang w:eastAsia="zh-CN"/>
        </w:rPr>
        <w:t>况</w:t>
      </w:r>
    </w:p>
    <w:p>
      <w:pPr>
        <w:keepNext w:val="0"/>
        <w:keepLines w:val="0"/>
        <w:pageBreakBefore w:val="0"/>
        <w:widowControl w:val="0"/>
        <w:kinsoku/>
        <w:wordWrap/>
        <w:overflowPunct/>
        <w:topLinePunct w:val="0"/>
        <w:autoSpaceDE w:val="0"/>
        <w:autoSpaceDN w:val="0"/>
        <w:bidi w:val="0"/>
        <w:adjustRightInd w:val="0"/>
        <w:snapToGrid w:val="0"/>
        <w:spacing w:line="579" w:lineRule="exact"/>
        <w:ind w:firstLine="640" w:firstLineChars="200"/>
        <w:jc w:val="left"/>
        <w:textAlignment w:val="auto"/>
        <w:rPr>
          <w:rFonts w:hint="eastAsia" w:ascii="仿宋_GB2312" w:hAnsi="仿宋_GB2312" w:eastAsia="仿宋_GB2312" w:cs="仿宋_GB2312"/>
          <w:bCs/>
          <w:color w:val="000000"/>
          <w:sz w:val="32"/>
          <w:szCs w:val="32"/>
          <w:lang w:val="en-US" w:eastAsia="zh-CN"/>
        </w:rPr>
      </w:pPr>
      <w:r>
        <w:rPr>
          <w:rFonts w:hint="eastAsia" w:ascii="仿宋_GB2312" w:hAnsi="仿宋_GB2312" w:eastAsia="仿宋_GB2312" w:cs="仿宋_GB2312"/>
          <w:bCs/>
          <w:color w:val="000000"/>
          <w:sz w:val="32"/>
          <w:szCs w:val="32"/>
          <w:lang w:val="en-US" w:eastAsia="zh-CN"/>
        </w:rPr>
        <w:t>安排专门的会计人员做好茂林镇资产登记和管理工作，将需要入账的资产信息及时录入资产管理系统，做到应录尽录，不遗漏、瞒报。及时开展资产提折旧、报废和处置等工作。不定期检查资产管理情况，履行监督职能，及时反映和解决存在问题。</w:t>
      </w:r>
    </w:p>
    <w:p>
      <w:pPr>
        <w:widowControl/>
        <w:spacing w:line="600" w:lineRule="exact"/>
        <w:ind w:firstLine="632" w:firstLineChars="200"/>
        <w:jc w:val="left"/>
        <w:rPr>
          <w:rFonts w:hint="eastAsia" w:ascii="黑体" w:hAnsi="黑体" w:eastAsia="黑体" w:cs="黑体"/>
          <w:b w:val="0"/>
          <w:bCs/>
          <w:spacing w:val="-2"/>
          <w:sz w:val="32"/>
          <w:szCs w:val="32"/>
          <w:lang w:eastAsia="zh-CN"/>
        </w:rPr>
      </w:pPr>
      <w:r>
        <w:rPr>
          <w:rFonts w:hint="eastAsia" w:ascii="黑体" w:hAnsi="黑体" w:eastAsia="黑体" w:cs="黑体"/>
          <w:b w:val="0"/>
          <w:bCs/>
          <w:spacing w:val="-2"/>
          <w:sz w:val="32"/>
          <w:szCs w:val="32"/>
        </w:rPr>
        <w:t>五、部门整体支出绩效情</w:t>
      </w:r>
      <w:r>
        <w:rPr>
          <w:rFonts w:hint="eastAsia" w:ascii="黑体" w:hAnsi="黑体" w:eastAsia="黑体" w:cs="黑体"/>
          <w:b w:val="0"/>
          <w:bCs/>
          <w:spacing w:val="-2"/>
          <w:sz w:val="32"/>
          <w:szCs w:val="32"/>
          <w:lang w:eastAsia="zh-CN"/>
        </w:rPr>
        <w:t>况</w:t>
      </w:r>
    </w:p>
    <w:p>
      <w:pPr>
        <w:keepNext w:val="0"/>
        <w:keepLines w:val="0"/>
        <w:pageBreakBefore w:val="0"/>
        <w:widowControl w:val="0"/>
        <w:kinsoku/>
        <w:wordWrap/>
        <w:overflowPunct/>
        <w:topLinePunct w:val="0"/>
        <w:autoSpaceDE w:val="0"/>
        <w:autoSpaceDN w:val="0"/>
        <w:bidi w:val="0"/>
        <w:adjustRightInd w:val="0"/>
        <w:snapToGrid w:val="0"/>
        <w:spacing w:line="579" w:lineRule="exact"/>
        <w:ind w:firstLine="640" w:firstLineChars="200"/>
        <w:jc w:val="left"/>
        <w:textAlignment w:val="auto"/>
        <w:rPr>
          <w:rFonts w:hint="eastAsia" w:ascii="楷体_GB2312" w:hAnsi="楷体_GB2312" w:eastAsia="楷体_GB2312" w:cs="楷体_GB2312"/>
          <w:bCs/>
          <w:color w:val="000000"/>
          <w:sz w:val="32"/>
          <w:szCs w:val="32"/>
          <w:lang w:val="en-US" w:eastAsia="zh-CN"/>
        </w:rPr>
      </w:pPr>
      <w:r>
        <w:rPr>
          <w:rFonts w:hint="eastAsia" w:ascii="楷体_GB2312" w:hAnsi="楷体_GB2312" w:eastAsia="楷体_GB2312" w:cs="楷体_GB2312"/>
          <w:bCs/>
          <w:color w:val="000000"/>
          <w:sz w:val="32"/>
          <w:szCs w:val="32"/>
          <w:lang w:val="en-US" w:eastAsia="zh-CN"/>
        </w:rPr>
        <w:t>（一）产出指标</w:t>
      </w:r>
    </w:p>
    <w:p>
      <w:pPr>
        <w:keepNext w:val="0"/>
        <w:keepLines w:val="0"/>
        <w:pageBreakBefore w:val="0"/>
        <w:widowControl w:val="0"/>
        <w:kinsoku/>
        <w:wordWrap/>
        <w:overflowPunct/>
        <w:topLinePunct w:val="0"/>
        <w:autoSpaceDE w:val="0"/>
        <w:autoSpaceDN w:val="0"/>
        <w:bidi w:val="0"/>
        <w:adjustRightInd w:val="0"/>
        <w:snapToGrid w:val="0"/>
        <w:spacing w:line="579" w:lineRule="exact"/>
        <w:ind w:firstLine="640" w:firstLineChars="200"/>
        <w:jc w:val="left"/>
        <w:textAlignment w:val="auto"/>
        <w:rPr>
          <w:rFonts w:hint="eastAsia" w:ascii="仿宋_GB2312" w:hAnsi="仿宋_GB2312" w:eastAsia="仿宋_GB2312" w:cs="仿宋_GB2312"/>
          <w:bCs/>
          <w:color w:val="000000"/>
          <w:sz w:val="32"/>
          <w:szCs w:val="32"/>
          <w:lang w:val="en-US" w:eastAsia="zh-CN"/>
        </w:rPr>
      </w:pPr>
      <w:r>
        <w:rPr>
          <w:rFonts w:hint="eastAsia" w:ascii="仿宋_GB2312" w:hAnsi="仿宋_GB2312" w:eastAsia="仿宋_GB2312" w:cs="仿宋_GB2312"/>
          <w:bCs/>
          <w:color w:val="000000"/>
          <w:sz w:val="32"/>
          <w:szCs w:val="32"/>
          <w:lang w:val="en-US" w:eastAsia="zh-CN"/>
        </w:rPr>
        <w:t>1.数量指标：</w:t>
      </w:r>
    </w:p>
    <w:p>
      <w:pPr>
        <w:keepNext w:val="0"/>
        <w:keepLines w:val="0"/>
        <w:pageBreakBefore w:val="0"/>
        <w:widowControl w:val="0"/>
        <w:kinsoku/>
        <w:wordWrap/>
        <w:overflowPunct/>
        <w:topLinePunct w:val="0"/>
        <w:autoSpaceDE w:val="0"/>
        <w:autoSpaceDN w:val="0"/>
        <w:bidi w:val="0"/>
        <w:adjustRightInd w:val="0"/>
        <w:snapToGrid w:val="0"/>
        <w:spacing w:line="579" w:lineRule="exact"/>
        <w:ind w:firstLine="640" w:firstLineChars="200"/>
        <w:jc w:val="left"/>
        <w:textAlignment w:val="auto"/>
        <w:rPr>
          <w:rFonts w:hint="eastAsia" w:ascii="仿宋_GB2312" w:hAnsi="仿宋_GB2312" w:eastAsia="仿宋_GB2312" w:cs="仿宋_GB2312"/>
          <w:bCs/>
          <w:color w:val="000000"/>
          <w:sz w:val="32"/>
          <w:szCs w:val="32"/>
          <w:lang w:val="en-US" w:eastAsia="zh-CN"/>
        </w:rPr>
      </w:pPr>
      <w:r>
        <w:rPr>
          <w:rFonts w:hint="eastAsia" w:ascii="仿宋_GB2312" w:hAnsi="仿宋_GB2312" w:eastAsia="仿宋_GB2312" w:cs="仿宋_GB2312"/>
          <w:bCs/>
          <w:color w:val="000000"/>
          <w:sz w:val="32"/>
          <w:szCs w:val="32"/>
          <w:lang w:val="en-US" w:eastAsia="zh-CN"/>
        </w:rPr>
        <w:t>（1）配合玉东新区推进项目征拆、建设个数6个；</w:t>
      </w:r>
    </w:p>
    <w:p>
      <w:pPr>
        <w:keepNext w:val="0"/>
        <w:keepLines w:val="0"/>
        <w:pageBreakBefore w:val="0"/>
        <w:widowControl w:val="0"/>
        <w:kinsoku/>
        <w:wordWrap/>
        <w:overflowPunct/>
        <w:topLinePunct w:val="0"/>
        <w:autoSpaceDE w:val="0"/>
        <w:autoSpaceDN w:val="0"/>
        <w:bidi w:val="0"/>
        <w:adjustRightInd w:val="0"/>
        <w:snapToGrid w:val="0"/>
        <w:spacing w:line="579" w:lineRule="exact"/>
        <w:ind w:firstLine="640" w:firstLineChars="200"/>
        <w:jc w:val="left"/>
        <w:textAlignment w:val="auto"/>
        <w:rPr>
          <w:rFonts w:hint="eastAsia" w:ascii="仿宋_GB2312" w:hAnsi="仿宋_GB2312" w:eastAsia="仿宋_GB2312" w:cs="仿宋_GB2312"/>
          <w:bCs/>
          <w:color w:val="000000"/>
          <w:sz w:val="32"/>
          <w:szCs w:val="32"/>
          <w:lang w:val="en-US" w:eastAsia="zh-CN"/>
        </w:rPr>
      </w:pPr>
      <w:r>
        <w:rPr>
          <w:rFonts w:hint="eastAsia" w:ascii="仿宋_GB2312" w:hAnsi="仿宋_GB2312" w:eastAsia="仿宋_GB2312" w:cs="仿宋_GB2312"/>
          <w:bCs/>
          <w:color w:val="000000"/>
          <w:sz w:val="32"/>
          <w:szCs w:val="32"/>
          <w:lang w:val="en-US" w:eastAsia="zh-CN"/>
        </w:rPr>
        <w:t>（2）发展村级集体经济达到5万元以上的社区个数11个；</w:t>
      </w:r>
    </w:p>
    <w:p>
      <w:pPr>
        <w:keepNext w:val="0"/>
        <w:keepLines w:val="0"/>
        <w:pageBreakBefore w:val="0"/>
        <w:widowControl w:val="0"/>
        <w:kinsoku/>
        <w:wordWrap/>
        <w:overflowPunct/>
        <w:topLinePunct w:val="0"/>
        <w:autoSpaceDE w:val="0"/>
        <w:autoSpaceDN w:val="0"/>
        <w:bidi w:val="0"/>
        <w:adjustRightInd w:val="0"/>
        <w:snapToGrid w:val="0"/>
        <w:spacing w:line="579" w:lineRule="exact"/>
        <w:ind w:firstLine="640" w:firstLineChars="200"/>
        <w:jc w:val="left"/>
        <w:textAlignment w:val="auto"/>
        <w:rPr>
          <w:rFonts w:hint="eastAsia" w:ascii="仿宋_GB2312" w:hAnsi="仿宋_GB2312" w:eastAsia="仿宋_GB2312" w:cs="仿宋_GB2312"/>
          <w:bCs/>
          <w:color w:val="000000"/>
          <w:sz w:val="32"/>
          <w:szCs w:val="32"/>
          <w:lang w:val="en-US" w:eastAsia="zh-CN"/>
        </w:rPr>
      </w:pPr>
      <w:r>
        <w:rPr>
          <w:rFonts w:hint="eastAsia" w:ascii="仿宋_GB2312" w:hAnsi="仿宋_GB2312" w:eastAsia="仿宋_GB2312" w:cs="仿宋_GB2312"/>
          <w:bCs/>
          <w:color w:val="000000"/>
          <w:sz w:val="32"/>
          <w:szCs w:val="32"/>
          <w:lang w:val="en-US" w:eastAsia="zh-CN"/>
        </w:rPr>
        <w:t>（3）整治撂荒地面积3270.59亩；</w:t>
      </w:r>
    </w:p>
    <w:p>
      <w:pPr>
        <w:keepNext w:val="0"/>
        <w:keepLines w:val="0"/>
        <w:pageBreakBefore w:val="0"/>
        <w:widowControl w:val="0"/>
        <w:kinsoku/>
        <w:wordWrap/>
        <w:overflowPunct/>
        <w:topLinePunct w:val="0"/>
        <w:autoSpaceDE w:val="0"/>
        <w:autoSpaceDN w:val="0"/>
        <w:bidi w:val="0"/>
        <w:adjustRightInd w:val="0"/>
        <w:snapToGrid w:val="0"/>
        <w:spacing w:line="579" w:lineRule="exact"/>
        <w:ind w:firstLine="640" w:firstLineChars="200"/>
        <w:jc w:val="left"/>
        <w:textAlignment w:val="auto"/>
        <w:rPr>
          <w:rFonts w:hint="eastAsia" w:ascii="仿宋_GB2312" w:hAnsi="仿宋_GB2312" w:eastAsia="仿宋_GB2312" w:cs="仿宋_GB2312"/>
          <w:bCs/>
          <w:color w:val="000000"/>
          <w:sz w:val="32"/>
          <w:szCs w:val="32"/>
          <w:lang w:val="en-US" w:eastAsia="zh-CN"/>
        </w:rPr>
      </w:pPr>
      <w:r>
        <w:rPr>
          <w:rFonts w:hint="eastAsia" w:ascii="仿宋_GB2312" w:hAnsi="仿宋_GB2312" w:eastAsia="仿宋_GB2312" w:cs="仿宋_GB2312"/>
          <w:bCs/>
          <w:color w:val="000000"/>
          <w:sz w:val="32"/>
          <w:szCs w:val="32"/>
          <w:lang w:val="en-US" w:eastAsia="zh-CN"/>
        </w:rPr>
        <w:t>（4）清理河道227公里；</w:t>
      </w:r>
    </w:p>
    <w:p>
      <w:pPr>
        <w:keepNext w:val="0"/>
        <w:keepLines w:val="0"/>
        <w:pageBreakBefore w:val="0"/>
        <w:widowControl w:val="0"/>
        <w:kinsoku/>
        <w:wordWrap/>
        <w:overflowPunct/>
        <w:topLinePunct w:val="0"/>
        <w:autoSpaceDE w:val="0"/>
        <w:autoSpaceDN w:val="0"/>
        <w:bidi w:val="0"/>
        <w:adjustRightInd w:val="0"/>
        <w:snapToGrid w:val="0"/>
        <w:spacing w:line="579" w:lineRule="exact"/>
        <w:ind w:firstLine="640" w:firstLineChars="200"/>
        <w:jc w:val="left"/>
        <w:textAlignment w:val="auto"/>
        <w:rPr>
          <w:rFonts w:hint="eastAsia" w:ascii="仿宋_GB2312" w:hAnsi="仿宋_GB2312" w:eastAsia="仿宋_GB2312" w:cs="仿宋_GB2312"/>
          <w:bCs/>
          <w:color w:val="000000"/>
          <w:sz w:val="32"/>
          <w:szCs w:val="32"/>
          <w:lang w:val="en-US" w:eastAsia="zh-CN"/>
        </w:rPr>
      </w:pPr>
      <w:r>
        <w:rPr>
          <w:rFonts w:hint="eastAsia" w:ascii="仿宋_GB2312" w:hAnsi="仿宋_GB2312" w:eastAsia="仿宋_GB2312" w:cs="仿宋_GB2312"/>
          <w:bCs/>
          <w:color w:val="000000"/>
          <w:sz w:val="32"/>
          <w:szCs w:val="32"/>
          <w:lang w:val="en-US" w:eastAsia="zh-CN"/>
        </w:rPr>
        <w:t>（5）建设农村公益事业财政奖补项目37个；</w:t>
      </w:r>
    </w:p>
    <w:p>
      <w:pPr>
        <w:keepNext w:val="0"/>
        <w:keepLines w:val="0"/>
        <w:pageBreakBefore w:val="0"/>
        <w:widowControl w:val="0"/>
        <w:kinsoku/>
        <w:wordWrap/>
        <w:overflowPunct/>
        <w:topLinePunct w:val="0"/>
        <w:autoSpaceDE w:val="0"/>
        <w:autoSpaceDN w:val="0"/>
        <w:bidi w:val="0"/>
        <w:adjustRightInd w:val="0"/>
        <w:snapToGrid w:val="0"/>
        <w:spacing w:line="579" w:lineRule="exact"/>
        <w:ind w:firstLine="640" w:firstLineChars="200"/>
        <w:jc w:val="left"/>
        <w:textAlignment w:val="auto"/>
        <w:rPr>
          <w:rFonts w:hint="eastAsia" w:ascii="仿宋_GB2312" w:hAnsi="仿宋_GB2312" w:eastAsia="仿宋_GB2312" w:cs="仿宋_GB2312"/>
          <w:bCs/>
          <w:color w:val="000000"/>
          <w:sz w:val="32"/>
          <w:szCs w:val="32"/>
          <w:lang w:val="en-US" w:eastAsia="zh-CN"/>
        </w:rPr>
      </w:pPr>
      <w:r>
        <w:rPr>
          <w:rFonts w:hint="eastAsia" w:ascii="仿宋_GB2312" w:hAnsi="仿宋_GB2312" w:eastAsia="仿宋_GB2312" w:cs="仿宋_GB2312"/>
          <w:bCs/>
          <w:color w:val="000000"/>
          <w:sz w:val="32"/>
          <w:szCs w:val="32"/>
          <w:lang w:val="en-US" w:eastAsia="zh-CN"/>
        </w:rPr>
        <w:t>（6）救助特困人员数334人。</w:t>
      </w:r>
    </w:p>
    <w:p>
      <w:pPr>
        <w:keepNext w:val="0"/>
        <w:keepLines w:val="0"/>
        <w:pageBreakBefore w:val="0"/>
        <w:widowControl w:val="0"/>
        <w:kinsoku/>
        <w:wordWrap/>
        <w:overflowPunct/>
        <w:topLinePunct w:val="0"/>
        <w:autoSpaceDE w:val="0"/>
        <w:autoSpaceDN w:val="0"/>
        <w:bidi w:val="0"/>
        <w:adjustRightInd w:val="0"/>
        <w:snapToGrid w:val="0"/>
        <w:spacing w:line="579" w:lineRule="exact"/>
        <w:ind w:firstLine="640" w:firstLineChars="200"/>
        <w:jc w:val="left"/>
        <w:textAlignment w:val="auto"/>
        <w:rPr>
          <w:rFonts w:hint="eastAsia" w:ascii="仿宋_GB2312" w:hAnsi="仿宋_GB2312" w:eastAsia="仿宋_GB2312" w:cs="仿宋_GB2312"/>
          <w:bCs/>
          <w:color w:val="000000"/>
          <w:sz w:val="32"/>
          <w:szCs w:val="32"/>
          <w:lang w:val="en-US" w:eastAsia="zh-CN"/>
        </w:rPr>
      </w:pPr>
      <w:r>
        <w:rPr>
          <w:rFonts w:hint="eastAsia" w:ascii="仿宋_GB2312" w:hAnsi="仿宋_GB2312" w:eastAsia="仿宋_GB2312" w:cs="仿宋_GB2312"/>
          <w:bCs/>
          <w:color w:val="000000"/>
          <w:sz w:val="32"/>
          <w:szCs w:val="32"/>
          <w:lang w:val="en-US" w:eastAsia="zh-CN"/>
        </w:rPr>
        <w:t>2.质量指标：</w:t>
      </w:r>
    </w:p>
    <w:p>
      <w:pPr>
        <w:keepNext w:val="0"/>
        <w:keepLines w:val="0"/>
        <w:pageBreakBefore w:val="0"/>
        <w:widowControl w:val="0"/>
        <w:kinsoku/>
        <w:wordWrap/>
        <w:overflowPunct/>
        <w:topLinePunct w:val="0"/>
        <w:autoSpaceDE w:val="0"/>
        <w:autoSpaceDN w:val="0"/>
        <w:bidi w:val="0"/>
        <w:adjustRightInd w:val="0"/>
        <w:snapToGrid w:val="0"/>
        <w:spacing w:line="579" w:lineRule="exact"/>
        <w:ind w:firstLine="640" w:firstLineChars="200"/>
        <w:jc w:val="left"/>
        <w:textAlignment w:val="auto"/>
        <w:rPr>
          <w:rFonts w:hint="eastAsia" w:ascii="仿宋_GB2312" w:hAnsi="仿宋_GB2312" w:eastAsia="仿宋_GB2312" w:cs="仿宋_GB2312"/>
          <w:bCs/>
          <w:color w:val="000000"/>
          <w:sz w:val="32"/>
          <w:szCs w:val="32"/>
          <w:lang w:val="en-US" w:eastAsia="zh-CN"/>
        </w:rPr>
      </w:pPr>
      <w:r>
        <w:rPr>
          <w:rFonts w:hint="eastAsia" w:ascii="仿宋_GB2312" w:hAnsi="仿宋_GB2312" w:eastAsia="仿宋_GB2312" w:cs="仿宋_GB2312"/>
          <w:bCs/>
          <w:color w:val="000000"/>
          <w:sz w:val="32"/>
          <w:szCs w:val="32"/>
          <w:lang w:val="en-US" w:eastAsia="zh-CN"/>
        </w:rPr>
        <w:t>（1）完成全镇粮食种植任务100%；</w:t>
      </w:r>
    </w:p>
    <w:p>
      <w:pPr>
        <w:keepNext w:val="0"/>
        <w:keepLines w:val="0"/>
        <w:pageBreakBefore w:val="0"/>
        <w:widowControl w:val="0"/>
        <w:kinsoku/>
        <w:wordWrap/>
        <w:overflowPunct/>
        <w:topLinePunct w:val="0"/>
        <w:autoSpaceDE w:val="0"/>
        <w:autoSpaceDN w:val="0"/>
        <w:bidi w:val="0"/>
        <w:adjustRightInd w:val="0"/>
        <w:snapToGrid w:val="0"/>
        <w:spacing w:line="579" w:lineRule="exact"/>
        <w:ind w:firstLine="640" w:firstLineChars="200"/>
        <w:jc w:val="left"/>
        <w:textAlignment w:val="auto"/>
        <w:rPr>
          <w:rFonts w:hint="eastAsia" w:ascii="仿宋_GB2312" w:hAnsi="仿宋_GB2312" w:eastAsia="仿宋_GB2312" w:cs="仿宋_GB2312"/>
          <w:bCs/>
          <w:color w:val="000000"/>
          <w:sz w:val="32"/>
          <w:szCs w:val="32"/>
          <w:lang w:val="en-US" w:eastAsia="zh-CN"/>
        </w:rPr>
      </w:pPr>
      <w:r>
        <w:rPr>
          <w:rFonts w:hint="eastAsia" w:ascii="仿宋_GB2312" w:hAnsi="仿宋_GB2312" w:eastAsia="仿宋_GB2312" w:cs="仿宋_GB2312"/>
          <w:bCs/>
          <w:color w:val="000000"/>
          <w:sz w:val="32"/>
          <w:szCs w:val="32"/>
          <w:lang w:val="en-US" w:eastAsia="zh-CN"/>
        </w:rPr>
        <w:t>（2）整治撂荒地完成率87.32%；</w:t>
      </w:r>
    </w:p>
    <w:p>
      <w:pPr>
        <w:keepNext w:val="0"/>
        <w:keepLines w:val="0"/>
        <w:pageBreakBefore w:val="0"/>
        <w:widowControl w:val="0"/>
        <w:kinsoku/>
        <w:wordWrap/>
        <w:overflowPunct/>
        <w:topLinePunct w:val="0"/>
        <w:autoSpaceDE w:val="0"/>
        <w:autoSpaceDN w:val="0"/>
        <w:bidi w:val="0"/>
        <w:adjustRightInd w:val="0"/>
        <w:snapToGrid w:val="0"/>
        <w:spacing w:line="579" w:lineRule="exact"/>
        <w:ind w:firstLine="640" w:firstLineChars="200"/>
        <w:jc w:val="left"/>
        <w:textAlignment w:val="auto"/>
        <w:rPr>
          <w:rFonts w:hint="eastAsia" w:ascii="仿宋_GB2312" w:hAnsi="仿宋_GB2312" w:eastAsia="仿宋_GB2312" w:cs="仿宋_GB2312"/>
          <w:bCs/>
          <w:color w:val="000000"/>
          <w:sz w:val="32"/>
          <w:szCs w:val="32"/>
          <w:lang w:val="en-US" w:eastAsia="zh-CN"/>
        </w:rPr>
      </w:pPr>
      <w:r>
        <w:rPr>
          <w:rFonts w:hint="eastAsia" w:ascii="仿宋_GB2312" w:hAnsi="仿宋_GB2312" w:eastAsia="仿宋_GB2312" w:cs="仿宋_GB2312"/>
          <w:bCs/>
          <w:color w:val="000000"/>
          <w:sz w:val="32"/>
          <w:szCs w:val="32"/>
          <w:lang w:val="en-US" w:eastAsia="zh-CN"/>
        </w:rPr>
        <w:t>（3）落实城乡低保率100%；</w:t>
      </w:r>
    </w:p>
    <w:p>
      <w:pPr>
        <w:keepNext w:val="0"/>
        <w:keepLines w:val="0"/>
        <w:pageBreakBefore w:val="0"/>
        <w:widowControl w:val="0"/>
        <w:kinsoku/>
        <w:wordWrap/>
        <w:overflowPunct/>
        <w:topLinePunct w:val="0"/>
        <w:autoSpaceDE w:val="0"/>
        <w:autoSpaceDN w:val="0"/>
        <w:bidi w:val="0"/>
        <w:adjustRightInd w:val="0"/>
        <w:snapToGrid w:val="0"/>
        <w:spacing w:line="579" w:lineRule="exact"/>
        <w:ind w:firstLine="640" w:firstLineChars="200"/>
        <w:jc w:val="left"/>
        <w:textAlignment w:val="auto"/>
        <w:rPr>
          <w:rFonts w:hint="eastAsia" w:ascii="仿宋_GB2312" w:hAnsi="仿宋_GB2312" w:eastAsia="仿宋_GB2312" w:cs="仿宋_GB2312"/>
          <w:bCs/>
          <w:color w:val="000000"/>
          <w:sz w:val="32"/>
          <w:szCs w:val="32"/>
          <w:lang w:val="en-US" w:eastAsia="zh-CN"/>
        </w:rPr>
      </w:pPr>
      <w:r>
        <w:rPr>
          <w:rFonts w:hint="eastAsia" w:ascii="仿宋_GB2312" w:hAnsi="仿宋_GB2312" w:eastAsia="仿宋_GB2312" w:cs="仿宋_GB2312"/>
          <w:bCs/>
          <w:color w:val="000000"/>
          <w:sz w:val="32"/>
          <w:szCs w:val="32"/>
          <w:lang w:val="en-US" w:eastAsia="zh-CN"/>
        </w:rPr>
        <w:t>3.时效指标：</w:t>
      </w:r>
    </w:p>
    <w:p>
      <w:pPr>
        <w:keepNext w:val="0"/>
        <w:keepLines w:val="0"/>
        <w:pageBreakBefore w:val="0"/>
        <w:widowControl w:val="0"/>
        <w:kinsoku/>
        <w:wordWrap/>
        <w:overflowPunct/>
        <w:topLinePunct w:val="0"/>
        <w:autoSpaceDE w:val="0"/>
        <w:autoSpaceDN w:val="0"/>
        <w:bidi w:val="0"/>
        <w:adjustRightInd w:val="0"/>
        <w:snapToGrid w:val="0"/>
        <w:spacing w:line="579" w:lineRule="exact"/>
        <w:ind w:firstLine="640" w:firstLineChars="200"/>
        <w:jc w:val="left"/>
        <w:textAlignment w:val="auto"/>
        <w:rPr>
          <w:rFonts w:hint="eastAsia" w:ascii="仿宋_GB2312" w:hAnsi="仿宋_GB2312" w:eastAsia="仿宋_GB2312" w:cs="仿宋_GB2312"/>
          <w:bCs/>
          <w:color w:val="000000"/>
          <w:sz w:val="32"/>
          <w:szCs w:val="32"/>
          <w:lang w:val="en-US" w:eastAsia="zh-CN"/>
        </w:rPr>
      </w:pPr>
      <w:r>
        <w:rPr>
          <w:rFonts w:hint="eastAsia" w:ascii="仿宋_GB2312" w:hAnsi="仿宋_GB2312" w:eastAsia="仿宋_GB2312" w:cs="仿宋_GB2312"/>
          <w:bCs/>
          <w:color w:val="000000"/>
          <w:sz w:val="32"/>
          <w:szCs w:val="32"/>
          <w:lang w:val="en-US" w:eastAsia="zh-CN"/>
        </w:rPr>
        <w:t>完成时间2022年12月31日前。</w:t>
      </w:r>
    </w:p>
    <w:p>
      <w:pPr>
        <w:keepNext w:val="0"/>
        <w:keepLines w:val="0"/>
        <w:pageBreakBefore w:val="0"/>
        <w:widowControl w:val="0"/>
        <w:kinsoku/>
        <w:wordWrap/>
        <w:overflowPunct/>
        <w:topLinePunct w:val="0"/>
        <w:autoSpaceDE w:val="0"/>
        <w:autoSpaceDN w:val="0"/>
        <w:bidi w:val="0"/>
        <w:adjustRightInd w:val="0"/>
        <w:snapToGrid w:val="0"/>
        <w:spacing w:line="579" w:lineRule="exact"/>
        <w:ind w:firstLine="640" w:firstLineChars="200"/>
        <w:jc w:val="left"/>
        <w:textAlignment w:val="auto"/>
        <w:rPr>
          <w:rFonts w:hint="eastAsia" w:ascii="仿宋_GB2312" w:hAnsi="仿宋_GB2312" w:eastAsia="仿宋_GB2312" w:cs="仿宋_GB2312"/>
          <w:bCs/>
          <w:color w:val="000000"/>
          <w:sz w:val="32"/>
          <w:szCs w:val="32"/>
          <w:lang w:val="en-US" w:eastAsia="zh-CN"/>
        </w:rPr>
      </w:pPr>
      <w:r>
        <w:rPr>
          <w:rFonts w:hint="eastAsia" w:ascii="仿宋_GB2312" w:hAnsi="仿宋_GB2312" w:eastAsia="仿宋_GB2312" w:cs="仿宋_GB2312"/>
          <w:bCs/>
          <w:color w:val="000000"/>
          <w:sz w:val="32"/>
          <w:szCs w:val="32"/>
          <w:lang w:val="en-US" w:eastAsia="zh-CN"/>
        </w:rPr>
        <w:t>4.成本指标：</w:t>
      </w:r>
    </w:p>
    <w:p>
      <w:pPr>
        <w:keepNext w:val="0"/>
        <w:keepLines w:val="0"/>
        <w:pageBreakBefore w:val="0"/>
        <w:widowControl w:val="0"/>
        <w:kinsoku/>
        <w:wordWrap/>
        <w:overflowPunct/>
        <w:topLinePunct w:val="0"/>
        <w:autoSpaceDE w:val="0"/>
        <w:autoSpaceDN w:val="0"/>
        <w:bidi w:val="0"/>
        <w:adjustRightInd w:val="0"/>
        <w:snapToGrid w:val="0"/>
        <w:spacing w:line="579" w:lineRule="exact"/>
        <w:ind w:firstLine="640" w:firstLineChars="200"/>
        <w:jc w:val="left"/>
        <w:textAlignment w:val="auto"/>
        <w:rPr>
          <w:rFonts w:hint="eastAsia" w:ascii="仿宋_GB2312" w:hAnsi="仿宋_GB2312" w:eastAsia="仿宋_GB2312" w:cs="仿宋_GB2312"/>
          <w:bCs/>
          <w:color w:val="000000"/>
          <w:sz w:val="32"/>
          <w:szCs w:val="32"/>
          <w:lang w:val="en-US" w:eastAsia="zh-CN"/>
        </w:rPr>
      </w:pPr>
      <w:r>
        <w:rPr>
          <w:rFonts w:hint="default" w:ascii="仿宋_GB2312" w:hAnsi="仿宋_GB2312" w:eastAsia="仿宋_GB2312" w:cs="仿宋_GB2312"/>
          <w:bCs/>
          <w:color w:val="000000"/>
          <w:sz w:val="32"/>
          <w:szCs w:val="32"/>
          <w:lang w:val="en-US" w:eastAsia="zh-CN"/>
        </w:rPr>
        <w:t>投入资金7416</w:t>
      </w:r>
      <w:r>
        <w:rPr>
          <w:rFonts w:hint="eastAsia" w:ascii="仿宋_GB2312" w:hAnsi="仿宋_GB2312" w:eastAsia="仿宋_GB2312" w:cs="仿宋_GB2312"/>
          <w:bCs/>
          <w:color w:val="000000"/>
          <w:sz w:val="32"/>
          <w:szCs w:val="32"/>
          <w:lang w:val="en-US" w:eastAsia="zh-CN"/>
        </w:rPr>
        <w:t>万元。</w:t>
      </w:r>
    </w:p>
    <w:p>
      <w:pPr>
        <w:keepNext w:val="0"/>
        <w:keepLines w:val="0"/>
        <w:pageBreakBefore w:val="0"/>
        <w:widowControl w:val="0"/>
        <w:kinsoku/>
        <w:wordWrap/>
        <w:overflowPunct/>
        <w:topLinePunct w:val="0"/>
        <w:autoSpaceDE w:val="0"/>
        <w:autoSpaceDN w:val="0"/>
        <w:bidi w:val="0"/>
        <w:adjustRightInd w:val="0"/>
        <w:snapToGrid w:val="0"/>
        <w:spacing w:line="579" w:lineRule="exact"/>
        <w:ind w:firstLine="640" w:firstLineChars="200"/>
        <w:jc w:val="left"/>
        <w:textAlignment w:val="auto"/>
        <w:rPr>
          <w:rFonts w:hint="eastAsia" w:ascii="楷体_GB2312" w:hAnsi="楷体_GB2312" w:eastAsia="楷体_GB2312" w:cs="楷体_GB2312"/>
          <w:bCs/>
          <w:color w:val="000000"/>
          <w:sz w:val="32"/>
          <w:szCs w:val="32"/>
          <w:lang w:val="en-US" w:eastAsia="zh-CN"/>
        </w:rPr>
      </w:pPr>
      <w:r>
        <w:rPr>
          <w:rFonts w:hint="eastAsia" w:ascii="楷体_GB2312" w:hAnsi="楷体_GB2312" w:eastAsia="楷体_GB2312" w:cs="楷体_GB2312"/>
          <w:bCs/>
          <w:color w:val="000000"/>
          <w:sz w:val="32"/>
          <w:szCs w:val="32"/>
          <w:lang w:val="en-US" w:eastAsia="zh-CN"/>
        </w:rPr>
        <w:t>（二）效益指标</w:t>
      </w:r>
    </w:p>
    <w:p>
      <w:pPr>
        <w:keepNext w:val="0"/>
        <w:keepLines w:val="0"/>
        <w:pageBreakBefore w:val="0"/>
        <w:widowControl w:val="0"/>
        <w:kinsoku/>
        <w:wordWrap/>
        <w:overflowPunct/>
        <w:topLinePunct w:val="0"/>
        <w:autoSpaceDE w:val="0"/>
        <w:autoSpaceDN w:val="0"/>
        <w:bidi w:val="0"/>
        <w:adjustRightInd w:val="0"/>
        <w:snapToGrid w:val="0"/>
        <w:spacing w:line="579" w:lineRule="exact"/>
        <w:ind w:firstLine="640" w:firstLineChars="200"/>
        <w:jc w:val="left"/>
        <w:textAlignment w:val="auto"/>
        <w:rPr>
          <w:rFonts w:hint="eastAsia" w:ascii="仿宋_GB2312" w:hAnsi="仿宋_GB2312" w:eastAsia="仿宋_GB2312" w:cs="仿宋_GB2312"/>
          <w:bCs/>
          <w:color w:val="000000"/>
          <w:sz w:val="32"/>
          <w:szCs w:val="32"/>
          <w:lang w:val="en-US" w:eastAsia="zh-CN"/>
        </w:rPr>
      </w:pPr>
      <w:r>
        <w:rPr>
          <w:rFonts w:hint="eastAsia" w:ascii="仿宋_GB2312" w:hAnsi="仿宋_GB2312" w:eastAsia="仿宋_GB2312" w:cs="仿宋_GB2312"/>
          <w:bCs/>
          <w:color w:val="000000"/>
          <w:sz w:val="32"/>
          <w:szCs w:val="32"/>
          <w:lang w:val="en-US" w:eastAsia="zh-CN"/>
        </w:rPr>
        <w:t>1.经济效益指标：</w:t>
      </w:r>
    </w:p>
    <w:p>
      <w:pPr>
        <w:keepNext w:val="0"/>
        <w:keepLines w:val="0"/>
        <w:pageBreakBefore w:val="0"/>
        <w:widowControl w:val="0"/>
        <w:kinsoku/>
        <w:wordWrap/>
        <w:overflowPunct/>
        <w:topLinePunct w:val="0"/>
        <w:autoSpaceDE w:val="0"/>
        <w:autoSpaceDN w:val="0"/>
        <w:bidi w:val="0"/>
        <w:adjustRightInd w:val="0"/>
        <w:snapToGrid w:val="0"/>
        <w:spacing w:line="579" w:lineRule="exact"/>
        <w:ind w:firstLine="640" w:firstLineChars="200"/>
        <w:jc w:val="left"/>
        <w:textAlignment w:val="auto"/>
        <w:rPr>
          <w:rFonts w:hint="eastAsia" w:ascii="仿宋_GB2312" w:hAnsi="仿宋_GB2312" w:eastAsia="仿宋_GB2312" w:cs="仿宋_GB2312"/>
          <w:bCs/>
          <w:color w:val="000000"/>
          <w:sz w:val="32"/>
          <w:szCs w:val="32"/>
          <w:lang w:val="en-US" w:eastAsia="zh-CN"/>
        </w:rPr>
      </w:pPr>
      <w:r>
        <w:rPr>
          <w:rFonts w:hint="eastAsia" w:ascii="仿宋_GB2312" w:hAnsi="仿宋_GB2312" w:eastAsia="仿宋_GB2312" w:cs="仿宋_GB2312"/>
          <w:bCs/>
          <w:color w:val="000000"/>
          <w:sz w:val="32"/>
          <w:szCs w:val="32"/>
          <w:lang w:val="en-US" w:eastAsia="zh-CN"/>
        </w:rPr>
        <w:t>（1）城镇居民人均可支配收入增长率2.8%；</w:t>
      </w:r>
    </w:p>
    <w:p>
      <w:pPr>
        <w:keepNext w:val="0"/>
        <w:keepLines w:val="0"/>
        <w:pageBreakBefore w:val="0"/>
        <w:widowControl w:val="0"/>
        <w:kinsoku/>
        <w:wordWrap/>
        <w:overflowPunct/>
        <w:topLinePunct w:val="0"/>
        <w:autoSpaceDE w:val="0"/>
        <w:autoSpaceDN w:val="0"/>
        <w:bidi w:val="0"/>
        <w:adjustRightInd w:val="0"/>
        <w:snapToGrid w:val="0"/>
        <w:spacing w:line="579" w:lineRule="exact"/>
        <w:ind w:firstLine="640" w:firstLineChars="200"/>
        <w:jc w:val="left"/>
        <w:textAlignment w:val="auto"/>
        <w:rPr>
          <w:rFonts w:hint="eastAsia" w:ascii="仿宋_GB2312" w:hAnsi="仿宋_GB2312" w:eastAsia="仿宋_GB2312" w:cs="仿宋_GB2312"/>
          <w:bCs/>
          <w:color w:val="000000"/>
          <w:sz w:val="32"/>
          <w:szCs w:val="32"/>
          <w:lang w:val="en-US" w:eastAsia="zh-CN"/>
        </w:rPr>
      </w:pPr>
      <w:r>
        <w:rPr>
          <w:rFonts w:hint="eastAsia" w:ascii="仿宋_GB2312" w:hAnsi="仿宋_GB2312" w:eastAsia="仿宋_GB2312" w:cs="仿宋_GB2312"/>
          <w:bCs/>
          <w:color w:val="000000"/>
          <w:sz w:val="32"/>
          <w:szCs w:val="32"/>
          <w:lang w:val="en-US" w:eastAsia="zh-CN"/>
        </w:rPr>
        <w:t>（2）农村居民可支配收入增长率6%。</w:t>
      </w:r>
    </w:p>
    <w:p>
      <w:pPr>
        <w:keepNext w:val="0"/>
        <w:keepLines w:val="0"/>
        <w:pageBreakBefore w:val="0"/>
        <w:widowControl w:val="0"/>
        <w:kinsoku/>
        <w:wordWrap/>
        <w:overflowPunct/>
        <w:topLinePunct w:val="0"/>
        <w:autoSpaceDE w:val="0"/>
        <w:autoSpaceDN w:val="0"/>
        <w:bidi w:val="0"/>
        <w:adjustRightInd w:val="0"/>
        <w:snapToGrid w:val="0"/>
        <w:spacing w:line="579" w:lineRule="exact"/>
        <w:ind w:firstLine="640" w:firstLineChars="200"/>
        <w:jc w:val="left"/>
        <w:textAlignment w:val="auto"/>
        <w:rPr>
          <w:rFonts w:hint="eastAsia" w:ascii="仿宋_GB2312" w:hAnsi="仿宋_GB2312" w:eastAsia="仿宋_GB2312" w:cs="仿宋_GB2312"/>
          <w:bCs/>
          <w:color w:val="000000"/>
          <w:sz w:val="32"/>
          <w:szCs w:val="32"/>
          <w:lang w:val="en-US" w:eastAsia="zh-CN"/>
        </w:rPr>
      </w:pPr>
      <w:r>
        <w:rPr>
          <w:rFonts w:hint="eastAsia" w:ascii="仿宋_GB2312" w:hAnsi="仿宋_GB2312" w:eastAsia="仿宋_GB2312" w:cs="仿宋_GB2312"/>
          <w:bCs/>
          <w:color w:val="000000"/>
          <w:sz w:val="32"/>
          <w:szCs w:val="32"/>
          <w:lang w:val="en-US" w:eastAsia="zh-CN"/>
        </w:rPr>
        <w:t>2.社会效益指标：</w:t>
      </w:r>
    </w:p>
    <w:p>
      <w:pPr>
        <w:keepNext w:val="0"/>
        <w:keepLines w:val="0"/>
        <w:pageBreakBefore w:val="0"/>
        <w:widowControl w:val="0"/>
        <w:kinsoku/>
        <w:wordWrap/>
        <w:overflowPunct/>
        <w:topLinePunct w:val="0"/>
        <w:autoSpaceDE w:val="0"/>
        <w:autoSpaceDN w:val="0"/>
        <w:bidi w:val="0"/>
        <w:adjustRightInd w:val="0"/>
        <w:snapToGrid w:val="0"/>
        <w:spacing w:line="579" w:lineRule="exact"/>
        <w:ind w:firstLine="640" w:firstLineChars="200"/>
        <w:jc w:val="left"/>
        <w:textAlignment w:val="auto"/>
        <w:rPr>
          <w:rFonts w:hint="eastAsia" w:ascii="仿宋_GB2312" w:hAnsi="仿宋_GB2312" w:eastAsia="仿宋_GB2312" w:cs="仿宋_GB2312"/>
          <w:bCs/>
          <w:color w:val="000000"/>
          <w:sz w:val="32"/>
          <w:szCs w:val="32"/>
          <w:lang w:val="en-US" w:eastAsia="zh-CN"/>
        </w:rPr>
      </w:pPr>
      <w:r>
        <w:rPr>
          <w:rFonts w:hint="eastAsia" w:ascii="仿宋_GB2312" w:hAnsi="仿宋_GB2312" w:eastAsia="仿宋_GB2312" w:cs="仿宋_GB2312"/>
          <w:bCs/>
          <w:color w:val="000000"/>
          <w:sz w:val="32"/>
          <w:szCs w:val="32"/>
          <w:lang w:val="en-US" w:eastAsia="zh-CN"/>
        </w:rPr>
        <w:t>（1）征地拆迁、打击“两违”，维护正常的土地管理秩序，优化征拆工作环境；</w:t>
      </w:r>
    </w:p>
    <w:p>
      <w:pPr>
        <w:keepNext w:val="0"/>
        <w:keepLines w:val="0"/>
        <w:pageBreakBefore w:val="0"/>
        <w:widowControl w:val="0"/>
        <w:kinsoku/>
        <w:wordWrap/>
        <w:overflowPunct/>
        <w:topLinePunct w:val="0"/>
        <w:autoSpaceDE w:val="0"/>
        <w:autoSpaceDN w:val="0"/>
        <w:bidi w:val="0"/>
        <w:adjustRightInd w:val="0"/>
        <w:snapToGrid w:val="0"/>
        <w:spacing w:line="579" w:lineRule="exact"/>
        <w:ind w:firstLine="640" w:firstLineChars="200"/>
        <w:jc w:val="left"/>
        <w:textAlignment w:val="auto"/>
        <w:rPr>
          <w:rFonts w:hint="eastAsia" w:ascii="仿宋_GB2312" w:hAnsi="仿宋_GB2312" w:eastAsia="仿宋_GB2312" w:cs="仿宋_GB2312"/>
          <w:bCs/>
          <w:color w:val="000000"/>
          <w:sz w:val="32"/>
          <w:szCs w:val="32"/>
          <w:lang w:val="en-US" w:eastAsia="zh-CN"/>
        </w:rPr>
      </w:pPr>
      <w:r>
        <w:rPr>
          <w:rFonts w:hint="eastAsia" w:ascii="仿宋_GB2312" w:hAnsi="仿宋_GB2312" w:eastAsia="仿宋_GB2312" w:cs="仿宋_GB2312"/>
          <w:bCs/>
          <w:color w:val="000000"/>
          <w:sz w:val="32"/>
          <w:szCs w:val="32"/>
          <w:lang w:val="en-US" w:eastAsia="zh-CN"/>
        </w:rPr>
        <w:t>（2）开展疫情防控工作，防范新冠病毒疫情传播风险，保障群众；</w:t>
      </w:r>
    </w:p>
    <w:p>
      <w:pPr>
        <w:keepNext w:val="0"/>
        <w:keepLines w:val="0"/>
        <w:pageBreakBefore w:val="0"/>
        <w:widowControl w:val="0"/>
        <w:kinsoku/>
        <w:wordWrap/>
        <w:overflowPunct/>
        <w:topLinePunct w:val="0"/>
        <w:autoSpaceDE w:val="0"/>
        <w:autoSpaceDN w:val="0"/>
        <w:bidi w:val="0"/>
        <w:adjustRightInd w:val="0"/>
        <w:snapToGrid w:val="0"/>
        <w:spacing w:line="579" w:lineRule="exact"/>
        <w:ind w:firstLine="640" w:firstLineChars="200"/>
        <w:jc w:val="left"/>
        <w:textAlignment w:val="auto"/>
        <w:rPr>
          <w:rFonts w:hint="eastAsia" w:ascii="仿宋_GB2312" w:hAnsi="仿宋_GB2312" w:eastAsia="仿宋_GB2312" w:cs="仿宋_GB2312"/>
          <w:bCs/>
          <w:color w:val="000000"/>
          <w:sz w:val="32"/>
          <w:szCs w:val="32"/>
          <w:lang w:val="en-US" w:eastAsia="zh-CN"/>
        </w:rPr>
      </w:pPr>
      <w:r>
        <w:rPr>
          <w:rFonts w:hint="eastAsia" w:ascii="仿宋_GB2312" w:hAnsi="仿宋_GB2312" w:eastAsia="仿宋_GB2312" w:cs="仿宋_GB2312"/>
          <w:bCs/>
          <w:color w:val="000000"/>
          <w:sz w:val="32"/>
          <w:szCs w:val="32"/>
          <w:lang w:val="en-US" w:eastAsia="zh-CN"/>
        </w:rPr>
        <w:t>（3）矛盾纠纷排查调处率100%；</w:t>
      </w:r>
    </w:p>
    <w:p>
      <w:pPr>
        <w:keepNext w:val="0"/>
        <w:keepLines w:val="0"/>
        <w:pageBreakBefore w:val="0"/>
        <w:widowControl w:val="0"/>
        <w:kinsoku/>
        <w:wordWrap/>
        <w:overflowPunct/>
        <w:topLinePunct w:val="0"/>
        <w:autoSpaceDE w:val="0"/>
        <w:autoSpaceDN w:val="0"/>
        <w:bidi w:val="0"/>
        <w:adjustRightInd w:val="0"/>
        <w:snapToGrid w:val="0"/>
        <w:spacing w:line="579" w:lineRule="exact"/>
        <w:ind w:firstLine="640" w:firstLineChars="200"/>
        <w:jc w:val="left"/>
        <w:textAlignment w:val="auto"/>
        <w:rPr>
          <w:rFonts w:hint="eastAsia" w:ascii="仿宋_GB2312" w:hAnsi="仿宋_GB2312" w:eastAsia="仿宋_GB2312" w:cs="仿宋_GB2312"/>
          <w:bCs/>
          <w:color w:val="000000"/>
          <w:sz w:val="32"/>
          <w:szCs w:val="32"/>
          <w:lang w:val="en-US" w:eastAsia="zh-CN"/>
        </w:rPr>
      </w:pPr>
      <w:r>
        <w:rPr>
          <w:rFonts w:hint="eastAsia" w:ascii="仿宋_GB2312" w:hAnsi="仿宋_GB2312" w:eastAsia="仿宋_GB2312" w:cs="仿宋_GB2312"/>
          <w:bCs/>
          <w:color w:val="000000"/>
          <w:sz w:val="32"/>
          <w:szCs w:val="32"/>
          <w:lang w:val="en-US" w:eastAsia="zh-CN"/>
        </w:rPr>
        <w:t>（4）多样化开展各项文化活动，丰富群众生活，满足群众精神需求。</w:t>
      </w:r>
    </w:p>
    <w:p>
      <w:pPr>
        <w:keepNext w:val="0"/>
        <w:keepLines w:val="0"/>
        <w:pageBreakBefore w:val="0"/>
        <w:widowControl w:val="0"/>
        <w:kinsoku/>
        <w:wordWrap/>
        <w:overflowPunct/>
        <w:topLinePunct w:val="0"/>
        <w:autoSpaceDE w:val="0"/>
        <w:autoSpaceDN w:val="0"/>
        <w:bidi w:val="0"/>
        <w:adjustRightInd w:val="0"/>
        <w:snapToGrid w:val="0"/>
        <w:spacing w:line="579" w:lineRule="exact"/>
        <w:ind w:firstLine="640" w:firstLineChars="200"/>
        <w:jc w:val="left"/>
        <w:textAlignment w:val="auto"/>
        <w:rPr>
          <w:rFonts w:hint="eastAsia" w:ascii="仿宋_GB2312" w:hAnsi="仿宋_GB2312" w:eastAsia="仿宋_GB2312" w:cs="仿宋_GB2312"/>
          <w:bCs/>
          <w:color w:val="000000"/>
          <w:sz w:val="32"/>
          <w:szCs w:val="32"/>
          <w:lang w:val="en-US" w:eastAsia="zh-CN"/>
        </w:rPr>
      </w:pPr>
      <w:r>
        <w:rPr>
          <w:rFonts w:hint="eastAsia" w:ascii="仿宋_GB2312" w:hAnsi="仿宋_GB2312" w:eastAsia="仿宋_GB2312" w:cs="仿宋_GB2312"/>
          <w:bCs/>
          <w:color w:val="000000"/>
          <w:sz w:val="32"/>
          <w:szCs w:val="32"/>
          <w:lang w:val="en-US" w:eastAsia="zh-CN"/>
        </w:rPr>
        <w:t>3.生态效益指标：</w:t>
      </w:r>
    </w:p>
    <w:p>
      <w:pPr>
        <w:keepNext w:val="0"/>
        <w:keepLines w:val="0"/>
        <w:pageBreakBefore w:val="0"/>
        <w:widowControl w:val="0"/>
        <w:kinsoku/>
        <w:wordWrap/>
        <w:overflowPunct/>
        <w:topLinePunct w:val="0"/>
        <w:autoSpaceDE w:val="0"/>
        <w:autoSpaceDN w:val="0"/>
        <w:bidi w:val="0"/>
        <w:adjustRightInd w:val="0"/>
        <w:snapToGrid w:val="0"/>
        <w:spacing w:line="579" w:lineRule="exact"/>
        <w:ind w:firstLine="640" w:firstLineChars="200"/>
        <w:jc w:val="left"/>
        <w:textAlignment w:val="auto"/>
        <w:rPr>
          <w:rFonts w:hint="eastAsia" w:ascii="仿宋_GB2312" w:hAnsi="仿宋_GB2312" w:eastAsia="仿宋_GB2312" w:cs="仿宋_GB2312"/>
          <w:bCs/>
          <w:color w:val="000000"/>
          <w:sz w:val="32"/>
          <w:szCs w:val="32"/>
          <w:lang w:val="en-US" w:eastAsia="zh-CN"/>
        </w:rPr>
      </w:pPr>
      <w:r>
        <w:rPr>
          <w:rFonts w:hint="eastAsia" w:ascii="仿宋_GB2312" w:hAnsi="仿宋_GB2312" w:eastAsia="仿宋_GB2312" w:cs="仿宋_GB2312"/>
          <w:bCs/>
          <w:color w:val="000000"/>
          <w:sz w:val="32"/>
          <w:szCs w:val="32"/>
          <w:lang w:val="en-US" w:eastAsia="zh-CN"/>
        </w:rPr>
        <w:t>（1）开展禁烧秸秆、禁燃烟花爆竹工作，狠抓大气污染防</w:t>
      </w:r>
      <w:r>
        <w:rPr>
          <w:rFonts w:hint="eastAsia" w:ascii="仿宋_GB2312" w:hAnsi="仿宋_GB2312" w:eastAsia="仿宋_GB2312" w:cs="仿宋_GB2312"/>
          <w:bCs/>
          <w:color w:val="000000"/>
          <w:spacing w:val="-11"/>
          <w:sz w:val="32"/>
          <w:szCs w:val="32"/>
          <w:lang w:val="en-US" w:eastAsia="zh-CN"/>
        </w:rPr>
        <w:t>治，加强宣传防治工作，从严加强管控，从源头打击减少大气污染；</w:t>
      </w:r>
    </w:p>
    <w:p>
      <w:pPr>
        <w:keepNext w:val="0"/>
        <w:keepLines w:val="0"/>
        <w:pageBreakBefore w:val="0"/>
        <w:widowControl w:val="0"/>
        <w:kinsoku/>
        <w:wordWrap/>
        <w:overflowPunct/>
        <w:topLinePunct w:val="0"/>
        <w:autoSpaceDE w:val="0"/>
        <w:autoSpaceDN w:val="0"/>
        <w:bidi w:val="0"/>
        <w:adjustRightInd w:val="0"/>
        <w:snapToGrid w:val="0"/>
        <w:spacing w:line="579" w:lineRule="exact"/>
        <w:ind w:firstLine="640" w:firstLineChars="200"/>
        <w:jc w:val="left"/>
        <w:textAlignment w:val="auto"/>
        <w:rPr>
          <w:rFonts w:hint="eastAsia" w:ascii="仿宋_GB2312" w:hAnsi="仿宋_GB2312" w:eastAsia="仿宋_GB2312" w:cs="仿宋_GB2312"/>
          <w:bCs/>
          <w:color w:val="000000"/>
          <w:sz w:val="32"/>
          <w:szCs w:val="32"/>
          <w:lang w:val="en-US" w:eastAsia="zh-CN"/>
        </w:rPr>
      </w:pPr>
      <w:r>
        <w:rPr>
          <w:rFonts w:hint="eastAsia" w:ascii="仿宋_GB2312" w:hAnsi="仿宋_GB2312" w:eastAsia="仿宋_GB2312" w:cs="仿宋_GB2312"/>
          <w:bCs/>
          <w:color w:val="000000"/>
          <w:sz w:val="32"/>
          <w:szCs w:val="32"/>
          <w:lang w:val="en-US" w:eastAsia="zh-CN"/>
        </w:rPr>
        <w:t>（2）统筹抓好水环境治理，推进南流江流域综合治理，保护水生态，严格执行落实河长制，开展清“四乱”活动，突出做好重点区域、重点流域的环境保护工作。</w:t>
      </w:r>
    </w:p>
    <w:p>
      <w:pPr>
        <w:keepNext w:val="0"/>
        <w:keepLines w:val="0"/>
        <w:pageBreakBefore w:val="0"/>
        <w:widowControl w:val="0"/>
        <w:kinsoku/>
        <w:wordWrap/>
        <w:overflowPunct/>
        <w:topLinePunct w:val="0"/>
        <w:autoSpaceDE w:val="0"/>
        <w:autoSpaceDN w:val="0"/>
        <w:bidi w:val="0"/>
        <w:adjustRightInd w:val="0"/>
        <w:snapToGrid w:val="0"/>
        <w:spacing w:line="579" w:lineRule="exact"/>
        <w:ind w:firstLine="640" w:firstLineChars="200"/>
        <w:jc w:val="left"/>
        <w:textAlignment w:val="auto"/>
        <w:rPr>
          <w:rFonts w:hint="eastAsia" w:ascii="仿宋_GB2312" w:hAnsi="仿宋_GB2312" w:eastAsia="仿宋_GB2312" w:cs="仿宋_GB2312"/>
          <w:bCs/>
          <w:color w:val="000000"/>
          <w:sz w:val="32"/>
          <w:szCs w:val="32"/>
          <w:lang w:val="en-US" w:eastAsia="zh-CN"/>
        </w:rPr>
      </w:pPr>
      <w:r>
        <w:rPr>
          <w:rFonts w:hint="eastAsia" w:ascii="仿宋_GB2312" w:hAnsi="仿宋_GB2312" w:eastAsia="仿宋_GB2312" w:cs="仿宋_GB2312"/>
          <w:bCs/>
          <w:color w:val="000000"/>
          <w:sz w:val="32"/>
          <w:szCs w:val="32"/>
          <w:lang w:val="en-US" w:eastAsia="zh-CN"/>
        </w:rPr>
        <w:t>4.可持续影响指标：</w:t>
      </w:r>
    </w:p>
    <w:p>
      <w:pPr>
        <w:keepNext w:val="0"/>
        <w:keepLines w:val="0"/>
        <w:pageBreakBefore w:val="0"/>
        <w:widowControl w:val="0"/>
        <w:kinsoku/>
        <w:wordWrap/>
        <w:overflowPunct/>
        <w:topLinePunct w:val="0"/>
        <w:autoSpaceDE w:val="0"/>
        <w:autoSpaceDN w:val="0"/>
        <w:bidi w:val="0"/>
        <w:adjustRightInd w:val="0"/>
        <w:snapToGrid w:val="0"/>
        <w:spacing w:line="579" w:lineRule="exact"/>
        <w:ind w:firstLine="640" w:firstLineChars="200"/>
        <w:jc w:val="left"/>
        <w:textAlignment w:val="auto"/>
        <w:rPr>
          <w:rFonts w:hint="eastAsia" w:ascii="仿宋_GB2312" w:hAnsi="仿宋_GB2312" w:eastAsia="仿宋_GB2312" w:cs="仿宋_GB2312"/>
          <w:bCs/>
          <w:color w:val="000000"/>
          <w:sz w:val="32"/>
          <w:szCs w:val="32"/>
          <w:lang w:val="en-US" w:eastAsia="zh-CN"/>
        </w:rPr>
      </w:pPr>
      <w:r>
        <w:rPr>
          <w:rFonts w:hint="eastAsia" w:ascii="仿宋_GB2312" w:hAnsi="仿宋_GB2312" w:eastAsia="仿宋_GB2312" w:cs="仿宋_GB2312"/>
          <w:bCs/>
          <w:color w:val="000000"/>
          <w:sz w:val="32"/>
          <w:szCs w:val="32"/>
          <w:lang w:val="en-US" w:eastAsia="zh-CN"/>
        </w:rPr>
        <w:t>（1）</w:t>
      </w:r>
      <w:r>
        <w:rPr>
          <w:rFonts w:hint="default" w:ascii="仿宋_GB2312" w:hAnsi="仿宋_GB2312" w:eastAsia="仿宋_GB2312" w:cs="仿宋_GB2312"/>
          <w:bCs/>
          <w:color w:val="000000"/>
          <w:sz w:val="32"/>
          <w:szCs w:val="32"/>
          <w:lang w:val="en-US" w:eastAsia="zh-CN"/>
        </w:rPr>
        <w:t>持续巩固脱贫成效，有效衔接乡村振兴</w:t>
      </w:r>
      <w:r>
        <w:rPr>
          <w:rFonts w:hint="eastAsia" w:ascii="仿宋_GB2312" w:hAnsi="仿宋_GB2312" w:eastAsia="仿宋_GB2312" w:cs="仿宋_GB2312"/>
          <w:bCs/>
          <w:color w:val="000000"/>
          <w:sz w:val="32"/>
          <w:szCs w:val="32"/>
          <w:lang w:val="en-US" w:eastAsia="zh-CN"/>
        </w:rPr>
        <w:t>，开展常态化排查，抓好对脱贫人口的监测，全镇无返贫风险户。强化整治人居环境，改善乡村风貌；</w:t>
      </w:r>
    </w:p>
    <w:p>
      <w:pPr>
        <w:keepNext w:val="0"/>
        <w:keepLines w:val="0"/>
        <w:pageBreakBefore w:val="0"/>
        <w:widowControl w:val="0"/>
        <w:kinsoku/>
        <w:wordWrap/>
        <w:overflowPunct/>
        <w:topLinePunct w:val="0"/>
        <w:autoSpaceDE w:val="0"/>
        <w:autoSpaceDN w:val="0"/>
        <w:bidi w:val="0"/>
        <w:adjustRightInd w:val="0"/>
        <w:snapToGrid w:val="0"/>
        <w:spacing w:line="579" w:lineRule="exact"/>
        <w:ind w:firstLine="640" w:firstLineChars="200"/>
        <w:jc w:val="left"/>
        <w:textAlignment w:val="auto"/>
        <w:rPr>
          <w:rFonts w:hint="eastAsia" w:ascii="仿宋_GB2312" w:hAnsi="仿宋_GB2312" w:eastAsia="仿宋_GB2312" w:cs="仿宋_GB2312"/>
          <w:bCs/>
          <w:color w:val="000000"/>
          <w:sz w:val="32"/>
          <w:szCs w:val="32"/>
          <w:lang w:val="en-US" w:eastAsia="zh-CN"/>
        </w:rPr>
      </w:pPr>
      <w:r>
        <w:rPr>
          <w:rFonts w:hint="eastAsia" w:ascii="仿宋_GB2312" w:hAnsi="仿宋_GB2312" w:eastAsia="仿宋_GB2312" w:cs="仿宋_GB2312"/>
          <w:bCs/>
          <w:color w:val="000000"/>
          <w:sz w:val="32"/>
          <w:szCs w:val="32"/>
          <w:lang w:val="en-US" w:eastAsia="zh-CN"/>
        </w:rPr>
        <w:t>（2）推进社会治理工作，维护社会稳定，建设平安茂林，切实抓好信访维稳工作，开展提升群众安全感和满意度工作，做好矛盾纠纷化解，维护社会治安稳定，建设平安茂林。</w:t>
      </w:r>
    </w:p>
    <w:p>
      <w:pPr>
        <w:keepNext w:val="0"/>
        <w:keepLines w:val="0"/>
        <w:pageBreakBefore w:val="0"/>
        <w:widowControl w:val="0"/>
        <w:kinsoku/>
        <w:wordWrap/>
        <w:overflowPunct/>
        <w:topLinePunct w:val="0"/>
        <w:autoSpaceDE w:val="0"/>
        <w:autoSpaceDN w:val="0"/>
        <w:bidi w:val="0"/>
        <w:adjustRightInd w:val="0"/>
        <w:snapToGrid w:val="0"/>
        <w:spacing w:line="579" w:lineRule="exact"/>
        <w:ind w:firstLine="640" w:firstLineChars="200"/>
        <w:jc w:val="left"/>
        <w:textAlignment w:val="auto"/>
        <w:rPr>
          <w:rFonts w:hint="eastAsia" w:ascii="楷体_GB2312" w:hAnsi="楷体_GB2312" w:eastAsia="楷体_GB2312" w:cs="楷体_GB2312"/>
          <w:bCs/>
          <w:color w:val="000000"/>
          <w:sz w:val="32"/>
          <w:szCs w:val="32"/>
          <w:lang w:val="en-US" w:eastAsia="zh-CN"/>
        </w:rPr>
      </w:pPr>
      <w:r>
        <w:rPr>
          <w:rFonts w:hint="eastAsia" w:ascii="楷体_GB2312" w:hAnsi="楷体_GB2312" w:eastAsia="楷体_GB2312" w:cs="楷体_GB2312"/>
          <w:bCs/>
          <w:color w:val="000000"/>
          <w:sz w:val="32"/>
          <w:szCs w:val="32"/>
          <w:lang w:val="en-US" w:eastAsia="zh-CN"/>
        </w:rPr>
        <w:t>（三）满意度指标</w:t>
      </w:r>
    </w:p>
    <w:p>
      <w:pPr>
        <w:keepNext w:val="0"/>
        <w:keepLines w:val="0"/>
        <w:pageBreakBefore w:val="0"/>
        <w:widowControl w:val="0"/>
        <w:kinsoku/>
        <w:wordWrap/>
        <w:overflowPunct/>
        <w:topLinePunct w:val="0"/>
        <w:autoSpaceDE w:val="0"/>
        <w:autoSpaceDN w:val="0"/>
        <w:bidi w:val="0"/>
        <w:adjustRightInd w:val="0"/>
        <w:snapToGrid w:val="0"/>
        <w:spacing w:line="579" w:lineRule="exact"/>
        <w:ind w:firstLine="640" w:firstLineChars="200"/>
        <w:jc w:val="left"/>
        <w:textAlignment w:val="auto"/>
        <w:rPr>
          <w:rFonts w:hint="default" w:ascii="仿宋_GB2312" w:hAnsi="仿宋_GB2312" w:eastAsia="仿宋_GB2312" w:cs="仿宋_GB2312"/>
          <w:bCs/>
          <w:color w:val="000000"/>
          <w:sz w:val="32"/>
          <w:szCs w:val="32"/>
          <w:lang w:val="en-US" w:eastAsia="zh-CN"/>
        </w:rPr>
      </w:pPr>
      <w:r>
        <w:rPr>
          <w:rFonts w:hint="default" w:ascii="仿宋_GB2312" w:hAnsi="仿宋_GB2312" w:eastAsia="仿宋_GB2312" w:cs="仿宋_GB2312"/>
          <w:bCs/>
          <w:color w:val="000000"/>
          <w:sz w:val="32"/>
          <w:szCs w:val="32"/>
          <w:lang w:val="en-US" w:eastAsia="zh-CN"/>
        </w:rPr>
        <w:t>满意度指标</w:t>
      </w:r>
      <w:r>
        <w:rPr>
          <w:rFonts w:hint="eastAsia" w:ascii="仿宋_GB2312" w:hAnsi="仿宋_GB2312" w:eastAsia="仿宋_GB2312" w:cs="仿宋_GB2312"/>
          <w:bCs/>
          <w:color w:val="000000"/>
          <w:sz w:val="32"/>
          <w:szCs w:val="32"/>
          <w:lang w:val="en-US" w:eastAsia="zh-CN"/>
        </w:rPr>
        <w:t>：群众满意度100%。</w:t>
      </w:r>
    </w:p>
    <w:p>
      <w:pPr>
        <w:keepNext w:val="0"/>
        <w:keepLines w:val="0"/>
        <w:pageBreakBefore w:val="0"/>
        <w:widowControl w:val="0"/>
        <w:kinsoku/>
        <w:wordWrap/>
        <w:overflowPunct/>
        <w:topLinePunct w:val="0"/>
        <w:autoSpaceDE w:val="0"/>
        <w:autoSpaceDN w:val="0"/>
        <w:bidi w:val="0"/>
        <w:adjustRightInd w:val="0"/>
        <w:snapToGrid w:val="0"/>
        <w:spacing w:line="579" w:lineRule="exact"/>
        <w:ind w:firstLine="664" w:firstLineChars="200"/>
        <w:jc w:val="left"/>
        <w:textAlignment w:val="auto"/>
        <w:rPr>
          <w:rFonts w:hint="eastAsia" w:ascii="黑体" w:hAnsi="黑体" w:eastAsia="黑体" w:cs="黑体"/>
          <w:b w:val="0"/>
          <w:bCs w:val="0"/>
          <w:spacing w:val="6"/>
          <w:sz w:val="32"/>
          <w:szCs w:val="32"/>
          <w:lang w:val="en-US" w:eastAsia="zh-CN"/>
        </w:rPr>
      </w:pPr>
      <w:r>
        <w:rPr>
          <w:rFonts w:hint="eastAsia" w:ascii="黑体" w:hAnsi="黑体" w:eastAsia="黑体" w:cs="黑体"/>
          <w:b w:val="0"/>
          <w:bCs w:val="0"/>
          <w:spacing w:val="6"/>
          <w:sz w:val="32"/>
          <w:szCs w:val="32"/>
          <w:lang w:val="en-US" w:eastAsia="zh-CN"/>
        </w:rPr>
        <w:t>六、存在的主要问题</w:t>
      </w:r>
    </w:p>
    <w:p>
      <w:pPr>
        <w:keepNext w:val="0"/>
        <w:keepLines w:val="0"/>
        <w:pageBreakBefore w:val="0"/>
        <w:widowControl w:val="0"/>
        <w:kinsoku/>
        <w:wordWrap/>
        <w:overflowPunct/>
        <w:topLinePunct w:val="0"/>
        <w:autoSpaceDE w:val="0"/>
        <w:autoSpaceDN w:val="0"/>
        <w:bidi w:val="0"/>
        <w:adjustRightInd w:val="0"/>
        <w:snapToGrid w:val="0"/>
        <w:spacing w:line="579" w:lineRule="exact"/>
        <w:ind w:firstLine="664" w:firstLineChars="200"/>
        <w:jc w:val="left"/>
        <w:textAlignment w:val="auto"/>
        <w:rPr>
          <w:rFonts w:hint="eastAsia" w:ascii="仿宋_GB2312" w:hAnsi="黑体" w:eastAsia="仿宋_GB2312"/>
          <w:b w:val="0"/>
          <w:bCs w:val="0"/>
          <w:spacing w:val="6"/>
          <w:sz w:val="32"/>
          <w:szCs w:val="32"/>
          <w:lang w:val="en-US" w:eastAsia="zh-CN"/>
        </w:rPr>
      </w:pPr>
      <w:r>
        <w:rPr>
          <w:rFonts w:hint="eastAsia" w:ascii="仿宋_GB2312" w:hAnsi="黑体" w:eastAsia="仿宋_GB2312"/>
          <w:b w:val="0"/>
          <w:bCs w:val="0"/>
          <w:spacing w:val="6"/>
          <w:sz w:val="32"/>
          <w:szCs w:val="32"/>
          <w:lang w:val="en-US" w:eastAsia="zh-CN"/>
        </w:rPr>
        <w:t>1.由于财政紧张，一些项目预算缩减或被砍，导致部分工作没有足够的资金支撑，难以顺利开展，资金拨付存在困难；</w:t>
      </w:r>
    </w:p>
    <w:p>
      <w:pPr>
        <w:keepNext w:val="0"/>
        <w:keepLines w:val="0"/>
        <w:pageBreakBefore w:val="0"/>
        <w:widowControl w:val="0"/>
        <w:kinsoku/>
        <w:wordWrap/>
        <w:overflowPunct/>
        <w:topLinePunct w:val="0"/>
        <w:autoSpaceDE w:val="0"/>
        <w:autoSpaceDN w:val="0"/>
        <w:bidi w:val="0"/>
        <w:adjustRightInd w:val="0"/>
        <w:snapToGrid w:val="0"/>
        <w:spacing w:line="579" w:lineRule="exact"/>
        <w:ind w:firstLine="664" w:firstLineChars="200"/>
        <w:jc w:val="left"/>
        <w:textAlignment w:val="auto"/>
        <w:rPr>
          <w:rFonts w:hint="eastAsia" w:ascii="仿宋_GB2312" w:hAnsi="黑体" w:eastAsia="仿宋_GB2312"/>
          <w:b w:val="0"/>
          <w:bCs w:val="0"/>
          <w:spacing w:val="6"/>
          <w:sz w:val="32"/>
          <w:szCs w:val="32"/>
          <w:lang w:val="en-US" w:eastAsia="zh-CN"/>
        </w:rPr>
      </w:pPr>
      <w:r>
        <w:rPr>
          <w:rFonts w:hint="eastAsia" w:ascii="仿宋_GB2312" w:hAnsi="黑体" w:eastAsia="仿宋_GB2312"/>
          <w:b w:val="0"/>
          <w:bCs w:val="0"/>
          <w:spacing w:val="6"/>
          <w:sz w:val="32"/>
          <w:szCs w:val="32"/>
          <w:lang w:val="en-US" w:eastAsia="zh-CN"/>
        </w:rPr>
        <w:t>2.在年初预算编制时个别项目预算规划考虑不全，导致本年度使用资金不足，不利于推进项目建设，达成年度目标；</w:t>
      </w:r>
    </w:p>
    <w:p>
      <w:pPr>
        <w:keepNext w:val="0"/>
        <w:keepLines w:val="0"/>
        <w:pageBreakBefore w:val="0"/>
        <w:widowControl w:val="0"/>
        <w:kinsoku/>
        <w:wordWrap/>
        <w:overflowPunct/>
        <w:topLinePunct w:val="0"/>
        <w:autoSpaceDE w:val="0"/>
        <w:autoSpaceDN w:val="0"/>
        <w:bidi w:val="0"/>
        <w:adjustRightInd w:val="0"/>
        <w:snapToGrid w:val="0"/>
        <w:spacing w:line="579" w:lineRule="exact"/>
        <w:ind w:firstLine="664" w:firstLineChars="200"/>
        <w:jc w:val="left"/>
        <w:textAlignment w:val="auto"/>
        <w:rPr>
          <w:rFonts w:hint="eastAsia" w:ascii="黑体" w:hAnsi="黑体" w:eastAsia="黑体"/>
          <w:bCs/>
          <w:sz w:val="32"/>
          <w:szCs w:val="32"/>
        </w:rPr>
      </w:pPr>
      <w:r>
        <w:rPr>
          <w:rFonts w:hint="eastAsia" w:ascii="仿宋_GB2312" w:hAnsi="黑体" w:eastAsia="仿宋_GB2312"/>
          <w:b w:val="0"/>
          <w:bCs w:val="0"/>
          <w:spacing w:val="6"/>
          <w:sz w:val="32"/>
          <w:szCs w:val="32"/>
          <w:lang w:val="en-US" w:eastAsia="zh-CN"/>
        </w:rPr>
        <w:t>3.存在部分资金使用进度缓慢，资金使用率不高等问题。</w:t>
      </w:r>
    </w:p>
    <w:p>
      <w:pPr>
        <w:keepNext w:val="0"/>
        <w:keepLines w:val="0"/>
        <w:pageBreakBefore w:val="0"/>
        <w:widowControl w:val="0"/>
        <w:kinsoku/>
        <w:wordWrap/>
        <w:overflowPunct/>
        <w:topLinePunct w:val="0"/>
        <w:autoSpaceDE w:val="0"/>
        <w:autoSpaceDN w:val="0"/>
        <w:bidi w:val="0"/>
        <w:adjustRightInd w:val="0"/>
        <w:snapToGrid w:val="0"/>
        <w:spacing w:line="579" w:lineRule="exact"/>
        <w:ind w:firstLine="664" w:firstLineChars="200"/>
        <w:jc w:val="left"/>
        <w:textAlignment w:val="auto"/>
        <w:rPr>
          <w:rFonts w:hint="eastAsia" w:ascii="黑体" w:hAnsi="黑体" w:eastAsia="黑体" w:cs="黑体"/>
          <w:b w:val="0"/>
          <w:bCs w:val="0"/>
          <w:spacing w:val="6"/>
          <w:sz w:val="32"/>
          <w:szCs w:val="32"/>
          <w:lang w:val="en-US" w:eastAsia="zh-CN"/>
        </w:rPr>
      </w:pPr>
      <w:r>
        <w:rPr>
          <w:rFonts w:hint="eastAsia" w:ascii="黑体" w:hAnsi="黑体" w:eastAsia="黑体" w:cs="黑体"/>
          <w:b w:val="0"/>
          <w:bCs w:val="0"/>
          <w:spacing w:val="6"/>
          <w:sz w:val="32"/>
          <w:szCs w:val="32"/>
          <w:lang w:val="en-US" w:eastAsia="zh-CN"/>
        </w:rPr>
        <w:t>七、改进措施和有关建议</w:t>
      </w:r>
    </w:p>
    <w:p>
      <w:pPr>
        <w:keepNext w:val="0"/>
        <w:keepLines w:val="0"/>
        <w:pageBreakBefore w:val="0"/>
        <w:widowControl w:val="0"/>
        <w:kinsoku/>
        <w:wordWrap/>
        <w:overflowPunct/>
        <w:topLinePunct w:val="0"/>
        <w:autoSpaceDE w:val="0"/>
        <w:autoSpaceDN w:val="0"/>
        <w:bidi w:val="0"/>
        <w:adjustRightInd w:val="0"/>
        <w:snapToGrid w:val="0"/>
        <w:spacing w:line="579" w:lineRule="exact"/>
        <w:ind w:firstLine="664" w:firstLineChars="200"/>
        <w:jc w:val="left"/>
        <w:textAlignment w:val="auto"/>
        <w:rPr>
          <w:rFonts w:hint="eastAsia" w:ascii="仿宋_GB2312" w:hAnsi="黑体" w:eastAsia="仿宋_GB2312" w:cs="Times New Roman"/>
          <w:b w:val="0"/>
          <w:bCs w:val="0"/>
          <w:spacing w:val="6"/>
          <w:sz w:val="32"/>
          <w:szCs w:val="32"/>
          <w:lang w:val="en-US" w:eastAsia="zh-CN"/>
        </w:rPr>
      </w:pPr>
      <w:r>
        <w:rPr>
          <w:rFonts w:hint="eastAsia" w:ascii="仿宋_GB2312" w:hAnsi="黑体" w:eastAsia="仿宋_GB2312" w:cs="Times New Roman"/>
          <w:b w:val="0"/>
          <w:bCs w:val="0"/>
          <w:spacing w:val="6"/>
          <w:sz w:val="32"/>
          <w:szCs w:val="32"/>
          <w:lang w:val="en-US" w:eastAsia="zh-CN"/>
        </w:rPr>
        <w:t>1.提前做好项目预算规划，全面考虑资金用途及内容，做足年初预算编制，保证项目资金充足，确保项目顺利展开；</w:t>
      </w:r>
    </w:p>
    <w:p>
      <w:pPr>
        <w:keepNext w:val="0"/>
        <w:keepLines w:val="0"/>
        <w:pageBreakBefore w:val="0"/>
        <w:widowControl w:val="0"/>
        <w:kinsoku/>
        <w:wordWrap/>
        <w:overflowPunct/>
        <w:topLinePunct w:val="0"/>
        <w:autoSpaceDE w:val="0"/>
        <w:autoSpaceDN w:val="0"/>
        <w:bidi w:val="0"/>
        <w:adjustRightInd w:val="0"/>
        <w:snapToGrid w:val="0"/>
        <w:spacing w:line="579" w:lineRule="exact"/>
        <w:ind w:firstLine="664" w:firstLineChars="200"/>
        <w:jc w:val="left"/>
        <w:textAlignment w:val="auto"/>
        <w:rPr>
          <w:rFonts w:hint="eastAsia" w:ascii="仿宋_GB2312" w:hAnsi="黑体" w:eastAsia="仿宋_GB2312" w:cs="Times New Roman"/>
          <w:b w:val="0"/>
          <w:bCs w:val="0"/>
          <w:spacing w:val="6"/>
          <w:sz w:val="32"/>
          <w:szCs w:val="32"/>
          <w:lang w:val="en-US" w:eastAsia="zh-CN"/>
        </w:rPr>
      </w:pPr>
      <w:r>
        <w:rPr>
          <w:rFonts w:hint="eastAsia" w:ascii="仿宋_GB2312" w:hAnsi="黑体" w:eastAsia="仿宋_GB2312" w:cs="Times New Roman"/>
          <w:b w:val="0"/>
          <w:bCs w:val="0"/>
          <w:spacing w:val="6"/>
          <w:sz w:val="32"/>
          <w:szCs w:val="32"/>
          <w:lang w:val="en-US" w:eastAsia="zh-CN"/>
        </w:rPr>
        <w:t>2.合理安排支出结构，提高资金使用效率，加快资金拨付进度，提高项目工作效率，确保项目按照计划进度推进；</w:t>
      </w:r>
    </w:p>
    <w:p>
      <w:pPr>
        <w:keepNext w:val="0"/>
        <w:keepLines w:val="0"/>
        <w:pageBreakBefore w:val="0"/>
        <w:kinsoku/>
        <w:wordWrap/>
        <w:overflowPunct/>
        <w:topLinePunct w:val="0"/>
        <w:autoSpaceDE/>
        <w:autoSpaceDN/>
        <w:bidi w:val="0"/>
        <w:adjustRightInd/>
        <w:snapToGrid/>
        <w:ind w:firstLine="664" w:firstLineChars="200"/>
        <w:textAlignment w:val="auto"/>
        <w:rPr>
          <w:rFonts w:hint="eastAsia" w:ascii="楷体_GB2312" w:hAnsi="楷体_GB2312" w:eastAsia="楷体_GB2312" w:cs="楷体_GB2312"/>
          <w:spacing w:val="-11"/>
          <w:sz w:val="32"/>
          <w:szCs w:val="32"/>
        </w:rPr>
      </w:pPr>
      <w:r>
        <w:rPr>
          <w:rFonts w:hint="eastAsia" w:ascii="仿宋_GB2312" w:hAnsi="黑体" w:eastAsia="仿宋_GB2312" w:cs="Times New Roman"/>
          <w:b w:val="0"/>
          <w:bCs w:val="0"/>
          <w:spacing w:val="6"/>
          <w:sz w:val="32"/>
          <w:szCs w:val="32"/>
          <w:lang w:val="en-US" w:eastAsia="zh-CN"/>
        </w:rPr>
        <w:t>3.加强预算执行管理，严格按批复的预算、费用支出范围标准和定额安排支出。</w:t>
      </w:r>
      <w:bookmarkStart w:id="0" w:name="_GoBack"/>
      <w:bookmarkEnd w:id="0"/>
    </w:p>
    <w:sectPr>
      <w:footerReference r:id="rId3"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2000000000000000000"/>
    <w:charset w:val="86"/>
    <w:family w:val="script"/>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DFKai-SB">
    <w:panose1 w:val="03000509000000000000"/>
    <w:charset w:val="88"/>
    <w:family w:val="auto"/>
    <w:pitch w:val="default"/>
    <w:sig w:usb0="00000003" w:usb1="082E0000" w:usb2="00000016" w:usb3="00000000" w:csb0="00100001" w:csb1="00000000"/>
  </w:font>
  <w:font w:name="新宋体">
    <w:panose1 w:val="02010609030101010101"/>
    <w:charset w:val="86"/>
    <w:family w:val="auto"/>
    <w:pitch w:val="default"/>
    <w:sig w:usb0="00000003" w:usb1="288F0000" w:usb2="00000006" w:usb3="00000000" w:csb0="00040001" w:csb1="00000000"/>
  </w:font>
  <w:font w:name="Batang">
    <w:panose1 w:val="02030600000101010101"/>
    <w:charset w:val="81"/>
    <w:family w:val="auto"/>
    <w:pitch w:val="default"/>
    <w:sig w:usb0="B00002AF" w:usb1="69D77CFB" w:usb2="00000030" w:usb3="00000000" w:csb0="4008009F" w:csb1="DFD70000"/>
  </w:font>
  <w:font w:name="方正小标宋简体">
    <w:panose1 w:val="03000509000000000000"/>
    <w:charset w:val="86"/>
    <w:family w:val="auto"/>
    <w:pitch w:val="default"/>
    <w:sig w:usb0="00000001" w:usb1="080E0000" w:usb2="00000000" w:usb3="00000000" w:csb0="00040000"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 w:name="Microsoft JhengHei">
    <w:panose1 w:val="020B0604030504040204"/>
    <w:charset w:val="88"/>
    <w:family w:val="auto"/>
    <w:pitch w:val="default"/>
    <w:sig w:usb0="00000087" w:usb1="28AF4000" w:usb2="00000016" w:usb3="00000000" w:csb0="00100009" w:csb1="00000000"/>
  </w:font>
  <w:font w:name="Arial Black">
    <w:panose1 w:val="020B0A04020102020204"/>
    <w:charset w:val="00"/>
    <w:family w:val="auto"/>
    <w:pitch w:val="default"/>
    <w:sig w:usb0="00000287"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-146050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1.5pt;height:144pt;width:144pt;mso-position-horizontal:outside;mso-position-horizontal-relative:margin;mso-wrap-style:none;z-index:251659264;mso-width-relative:page;mso-height-relative:page;" filled="f" stroked="f" coordsize="21600,21600" o:gfxdata="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">
              <v:fill on="f" focussize="0,0"/>
              <v:stroke on="f" weight="0.5pt"/>
              <v:imagedata o:title=""/>
              <o:lock v:ext="edit" aspectratio="f"/>
              <v:textbox inset="0mm,0mm,0mm,0mm" style="mso-fit-shape-to-text:t;">
                <w:txbxContent>
                  <w:p>
                    <w:pPr>
                      <w:pStyle w:val="2"/>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lang w:val="en-US"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EzYWE5MjI3MmI2ZTJjMDFmYmNjNTEzZTA0MzdmOTMifQ=="/>
  </w:docVars>
  <w:rsids>
    <w:rsidRoot w:val="32236FDE"/>
    <w:rsid w:val="28D87E2F"/>
    <w:rsid w:val="32236FDE"/>
    <w:rsid w:val="469D6DA7"/>
    <w:rsid w:val="62F4361F"/>
    <w:rsid w:val="72D26A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nhideWhenUsed/>
    <w:uiPriority w:val="0"/>
    <w:pPr>
      <w:spacing w:before="100" w:beforeAutospacing="1" w:after="100" w:afterAutospacing="1"/>
      <w:jc w:val="left"/>
    </w:pPr>
    <w:rPr>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2886</Words>
  <Characters>3113</Characters>
  <Lines>0</Lines>
  <Paragraphs>0</Paragraphs>
  <TotalTime>6</TotalTime>
  <ScaleCrop>false</ScaleCrop>
  <LinksUpToDate>false</LinksUpToDate>
  <CharactersWithSpaces>3125</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2023-03-28T08:14:00Z</dcterms:created>
  <dc:creator>刘彦</dc:creator>
  <cp:lastModifiedBy>刘彦</cp:lastModifiedBy>
  <cp:lastPrinted>2023-03-30T03:24:55Z</cp:lastPrinted>
  <dcterms:modified xsi:type="dcterms:W3CDTF">2023-03-30T03:25:05Z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5CA86233087B4218B2D85A211CC3873C</vt:lpwstr>
  </property>
</Properties>
</file>